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548" w:rsidRDefault="00BF4548" w:rsidP="008013C9">
      <w:pPr>
        <w:pStyle w:val="Textopadro"/>
        <w:rPr>
          <w:rFonts w:ascii="Arial" w:eastAsia="Times New Roman" w:hAnsi="Arial" w:cs="Arial"/>
          <w:lang w:eastAsia="pt-BR" w:bidi="ar-SA"/>
        </w:rPr>
      </w:pPr>
    </w:p>
    <w:p w:rsidR="00BF4548" w:rsidRDefault="00AA4671" w:rsidP="008013C9">
      <w:pPr>
        <w:pStyle w:val="Ttulo"/>
        <w:jc w:val="center"/>
      </w:pPr>
      <w:r>
        <w:rPr>
          <w:sz w:val="24"/>
          <w:szCs w:val="24"/>
        </w:rPr>
        <w:t>Dispensa</w:t>
      </w:r>
      <w:r w:rsidR="00BF4548">
        <w:rPr>
          <w:sz w:val="24"/>
          <w:szCs w:val="24"/>
        </w:rPr>
        <w:t xml:space="preserve"> Nº DL 07/2026</w:t>
      </w:r>
    </w:p>
    <w:p w:rsidR="00BF4548" w:rsidRPr="00BF4548" w:rsidRDefault="00BF4548" w:rsidP="008013C9">
      <w:pPr>
        <w:tabs>
          <w:tab w:val="left" w:pos="3978"/>
          <w:tab w:val="left" w:pos="4294"/>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jc w:val="center"/>
        <w:rPr>
          <w:rFonts w:ascii="Times New Roman" w:hAnsi="Times New Roman" w:cs="Times New Roman"/>
        </w:rPr>
      </w:pPr>
      <w:r w:rsidRPr="00BF4548">
        <w:rPr>
          <w:rFonts w:ascii="Times New Roman" w:hAnsi="Times New Roman" w:cs="Times New Roman"/>
          <w:b/>
        </w:rPr>
        <w:t>ATA DE REGISTRO DE PREÇOS</w:t>
      </w:r>
    </w:p>
    <w:p w:rsidR="00BF4548" w:rsidRDefault="00AA4671" w:rsidP="008013C9">
      <w:pPr>
        <w:tabs>
          <w:tab w:val="left" w:pos="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rPr>
      </w:pPr>
      <w:r>
        <w:rPr>
          <w:rFonts w:ascii="Times New Roman" w:hAnsi="Times New Roman" w:cs="Times New Roman"/>
        </w:rPr>
        <w:t>A Câmara Municipal</w:t>
      </w:r>
      <w:r w:rsidR="00BF4548" w:rsidRPr="00BF4548">
        <w:rPr>
          <w:rFonts w:ascii="Times New Roman" w:hAnsi="Times New Roman" w:cs="Times New Roman"/>
        </w:rPr>
        <w:t xml:space="preserve"> de Agronômica, em face da classificação das prop</w:t>
      </w:r>
      <w:r>
        <w:rPr>
          <w:rFonts w:ascii="Times New Roman" w:hAnsi="Times New Roman" w:cs="Times New Roman"/>
        </w:rPr>
        <w:t>ostas apresentadas no Dispensa</w:t>
      </w:r>
      <w:r w:rsidR="00BF4548" w:rsidRPr="00BF4548">
        <w:rPr>
          <w:rFonts w:ascii="Times New Roman" w:hAnsi="Times New Roman" w:cs="Times New Roman"/>
        </w:rPr>
        <w:t xml:space="preserve"> nº DL 07/2026 – Registro de Preços, na Ata de julgamento de preços, RESOLVE registrar os preços </w:t>
      </w:r>
      <w:proofErr w:type="gramStart"/>
      <w:r w:rsidR="00BF4548" w:rsidRPr="00BF4548">
        <w:rPr>
          <w:rFonts w:ascii="Times New Roman" w:hAnsi="Times New Roman" w:cs="Times New Roman"/>
        </w:rPr>
        <w:t>da(</w:t>
      </w:r>
      <w:proofErr w:type="gramEnd"/>
      <w:r w:rsidR="00BF4548" w:rsidRPr="00BF4548">
        <w:rPr>
          <w:rFonts w:ascii="Times New Roman" w:hAnsi="Times New Roman" w:cs="Times New Roman"/>
        </w:rPr>
        <w:t>s) empresas, nas quantidades estimadas, de acordo com a classificação por ela(s) alcançada(s), atendendo as condições previstas no Edital de Licitação e seus Anexos, e em conformidade com as disposições a seguir.</w:t>
      </w:r>
    </w:p>
    <w:p w:rsidR="00BF4548" w:rsidRPr="00617B3D" w:rsidRDefault="00BF4548" w:rsidP="008013C9">
      <w:pPr>
        <w:jc w:val="both"/>
        <w:rPr>
          <w:rFonts w:ascii="Times New Roman" w:hAnsi="Times New Roman"/>
        </w:rPr>
      </w:pPr>
      <w:r w:rsidRPr="00617B3D">
        <w:rPr>
          <w:rFonts w:ascii="Times New Roman" w:hAnsi="Times New Roman"/>
          <w:b/>
        </w:rPr>
        <w:t>1.</w:t>
      </w:r>
      <w:r w:rsidRPr="00617B3D">
        <w:rPr>
          <w:rFonts w:ascii="Times New Roman" w:hAnsi="Times New Roman"/>
        </w:rPr>
        <w:t xml:space="preserve"> </w:t>
      </w:r>
      <w:r w:rsidRPr="00617B3D">
        <w:rPr>
          <w:rFonts w:ascii="Times New Roman" w:hAnsi="Times New Roman"/>
          <w:b/>
        </w:rPr>
        <w:t>DO OBJETO</w:t>
      </w:r>
    </w:p>
    <w:p w:rsidR="00BF4548" w:rsidRPr="00BF4548" w:rsidRDefault="00BF4548" w:rsidP="008013C9">
      <w:pPr>
        <w:tabs>
          <w:tab w:val="left" w:pos="56"/>
          <w:tab w:val="left" w:pos="708"/>
          <w:tab w:val="left" w:pos="1416"/>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rPr>
      </w:pPr>
      <w:r w:rsidRPr="00617B3D">
        <w:rPr>
          <w:rFonts w:ascii="Times New Roman" w:hAnsi="Times New Roman"/>
        </w:rPr>
        <w:t>1.1 A presente Ata tem por objeto o</w:t>
      </w:r>
      <w:r>
        <w:rPr>
          <w:rFonts w:ascii="Times New Roman" w:hAnsi="Times New Roman"/>
        </w:rPr>
        <w:t xml:space="preserve"> </w:t>
      </w:r>
      <w:r w:rsidRPr="00617B3D">
        <w:rPr>
          <w:rFonts w:ascii="Times New Roman" w:hAnsi="Times New Roman"/>
        </w:rPr>
        <w:t>REGISTRO DE PREÇO PARA O FORNECIMENTO DE MATERIAL DE LIMPEZA, COZINHA E COPA PARA CÂMARA DO MUNICÍPIO DE AGRONÔMICA/SC</w:t>
      </w:r>
      <w:r w:rsidRPr="00BF4548">
        <w:rPr>
          <w:rFonts w:ascii="Times New Roman" w:hAnsi="Times New Roman"/>
          <w:b/>
        </w:rPr>
        <w:t>, e de acordo com a classificação das empresas para cada item constantes da Ata do Pregão em anexo.</w:t>
      </w:r>
    </w:p>
    <w:p w:rsidR="00BC6DC4" w:rsidRDefault="00AA4671">
      <w:r>
        <w:rPr>
          <w:rFonts w:ascii="Times New Roman" w:hAnsi="Times New Roman"/>
          <w:b/>
        </w:rPr>
        <w:t xml:space="preserve"> 4247 - MERCADO KESTRING LTDA (31.691.468/0001-01)</w:t>
      </w:r>
    </w:p>
    <w:tbl>
      <w:tblPr>
        <w:tblW w:w="0" w:type="auto"/>
        <w:tblLook w:val="04A0" w:firstRow="1" w:lastRow="0" w:firstColumn="1" w:lastColumn="0" w:noHBand="0" w:noVBand="1"/>
      </w:tblPr>
      <w:tblGrid>
        <w:gridCol w:w="1401"/>
        <w:gridCol w:w="656"/>
        <w:gridCol w:w="1790"/>
        <w:gridCol w:w="912"/>
        <w:gridCol w:w="838"/>
        <w:gridCol w:w="1328"/>
        <w:gridCol w:w="1095"/>
        <w:gridCol w:w="985"/>
      </w:tblGrid>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b/>
              </w:rPr>
              <w:t>Data Adjudicação</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b/>
              </w:rPr>
              <w:t>Item</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b/>
              </w:rPr>
              <w:t>Material/Serviço</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b/>
              </w:rPr>
              <w:t>Unid. medida</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b/>
              </w:rPr>
              <w:t>Marca</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b/>
              </w:rPr>
              <w:t>Quantidade</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b/>
              </w:rPr>
              <w:t>Valor unitário (R$)</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b/>
              </w:rPr>
              <w:t>Valor total (R$)</w:t>
            </w:r>
          </w:p>
        </w:tc>
      </w:tr>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12/08/2026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44721 - Café em pó 500g classe A</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 xml:space="preserve">UN   </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70</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38,99</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2.729,30</w:t>
            </w:r>
          </w:p>
        </w:tc>
      </w:tr>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12/08/2026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2</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44722 - Açúcar refinado 1kg</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 xml:space="preserve">UN   </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15</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5,99</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89,85</w:t>
            </w:r>
          </w:p>
        </w:tc>
      </w:tr>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12/08/2026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3</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44723 - Água mineral 20L sem bombona</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 xml:space="preserve">UN   </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70</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17,00</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1.190,00</w:t>
            </w:r>
          </w:p>
        </w:tc>
      </w:tr>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12/08/2026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4</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44724 - Água mineral sem gás 500ml</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 xml:space="preserve">UN   </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500</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1,94</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970,00</w:t>
            </w:r>
          </w:p>
        </w:tc>
      </w:tr>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12/08/2026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5</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44725 - Leite integral 1L</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 xml:space="preserve">UN   </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120</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6,89</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826,80</w:t>
            </w:r>
          </w:p>
        </w:tc>
      </w:tr>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12/08/2026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6</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44726 - Adoçante 100ml</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 xml:space="preserve">UN   </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3</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8,74</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26,22</w:t>
            </w:r>
          </w:p>
        </w:tc>
      </w:tr>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12/08/2026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7</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44727 - Detergente para louças 500ml</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 xml:space="preserve">UN   </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24</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3,74</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89,76</w:t>
            </w:r>
          </w:p>
        </w:tc>
      </w:tr>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12/08/2026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8</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 xml:space="preserve">44728 - Água </w:t>
            </w:r>
            <w:r>
              <w:rPr>
                <w:rFonts w:ascii="Times New Roman" w:hAnsi="Times New Roman"/>
              </w:rPr>
              <w:lastRenderedPageBreak/>
              <w:t>sanitária galão 5L</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lastRenderedPageBreak/>
              <w:t xml:space="preserve">UN   </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20</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23,99</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479,80</w:t>
            </w:r>
          </w:p>
        </w:tc>
      </w:tr>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lastRenderedPageBreak/>
              <w:t>12/08/2026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9</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44729 - Vinagre 1L</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 xml:space="preserve">UN   </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12</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3,89</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46,68</w:t>
            </w:r>
          </w:p>
        </w:tc>
      </w:tr>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12/08/2026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10</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44730 - Sacos de lixo 50L c/5un</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 xml:space="preserve">UN   </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40</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5,79</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231,60</w:t>
            </w:r>
          </w:p>
        </w:tc>
      </w:tr>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12/08/2026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11</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44731 - Sacos de lixo 100L c/5un</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 xml:space="preserve">UN   </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40</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5,79</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231,60</w:t>
            </w:r>
          </w:p>
        </w:tc>
      </w:tr>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12/08/2026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12</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44732 - Sacos de lixo 15L c/10un</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 xml:space="preserve">UN   </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40</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5,79</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231,60</w:t>
            </w:r>
          </w:p>
        </w:tc>
      </w:tr>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12/08/2026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13</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44733 - Na?alina pacote 30g</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 xml:space="preserve">UN   </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5</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5,49</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27,45</w:t>
            </w:r>
          </w:p>
        </w:tc>
      </w:tr>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12/08/2026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14</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44734 - Álcool líquido 70% 1L</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 xml:space="preserve">UN   </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12</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12,99</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155,88</w:t>
            </w:r>
          </w:p>
        </w:tc>
      </w:tr>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12/08/2026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15</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44735 - Tira de copo plás?co 300ml c/100</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 xml:space="preserve">UN   </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100</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15,99</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1.599,00</w:t>
            </w:r>
          </w:p>
        </w:tc>
      </w:tr>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12/08/2026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16</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44736 - Tira de copo de isopor café c/20un</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 xml:space="preserve">UN   </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350</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9,89</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3.461,50</w:t>
            </w:r>
          </w:p>
        </w:tc>
      </w:tr>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12/08/2026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17</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44737 - Guardanapo pacote c/50 21/22CM</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 xml:space="preserve">UN   </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30</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5,89</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176,70</w:t>
            </w:r>
          </w:p>
        </w:tc>
      </w:tr>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12/08/2026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18</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44738 - Filtro para café 103 caixa c/30</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 xml:space="preserve">UN   </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12</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7,89</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94,68</w:t>
            </w:r>
          </w:p>
        </w:tc>
      </w:tr>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12/08/2026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19</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44739 - Papel higiênico pacote c/12 Folha Dupla</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 xml:space="preserve">UN   </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70</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24,75</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1.732,50</w:t>
            </w:r>
          </w:p>
        </w:tc>
      </w:tr>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12/08/2026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20</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44740 - Papel toalha pacote c/2 Mili 110folhas</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 xml:space="preserve">UN   </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12</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8,74</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104,88</w:t>
            </w:r>
          </w:p>
        </w:tc>
      </w:tr>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12/08/2026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21</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44741 - Limpador casa perfume 1L</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 xml:space="preserve">UN   </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30</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13,49</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404,70</w:t>
            </w:r>
          </w:p>
        </w:tc>
      </w:tr>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12/08/2026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22</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44742 - Desinfetante 1L</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 xml:space="preserve">UN   </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12</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24,45</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293,40</w:t>
            </w:r>
          </w:p>
        </w:tc>
      </w:tr>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12/08/2026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23</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44743 - Pano de louça</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 xml:space="preserve">UN   </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10</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8,79</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87,90</w:t>
            </w:r>
          </w:p>
        </w:tc>
      </w:tr>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12/08/2026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24</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 xml:space="preserve">44744 - Pano de limpeza pesada </w:t>
            </w:r>
            <w:r>
              <w:rPr>
                <w:rFonts w:ascii="Times New Roman" w:hAnsi="Times New Roman"/>
              </w:rPr>
              <w:lastRenderedPageBreak/>
              <w:t>Xadrez 40x60cm</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lastRenderedPageBreak/>
              <w:t xml:space="preserve">UN   </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10</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18,49</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184,90</w:t>
            </w:r>
          </w:p>
        </w:tc>
      </w:tr>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lastRenderedPageBreak/>
              <w:t>12/08/2026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25</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44745 - Cartela de pilhas c/4 ?po palito AAA Alcalina</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 xml:space="preserve">UN   </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10</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34,75</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347,50</w:t>
            </w:r>
          </w:p>
        </w:tc>
      </w:tr>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12/08/2026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26</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44746 - Cartela de pilhas c/4 ?po AA Alcalina</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 xml:space="preserve">UN   </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10</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37,75</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377,50</w:t>
            </w:r>
          </w:p>
        </w:tc>
      </w:tr>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12/08/2026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27</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44747 - Vassoura de palha</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 xml:space="preserve">UN   </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3</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62,50</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187,50</w:t>
            </w:r>
          </w:p>
        </w:tc>
      </w:tr>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12/08/2026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28</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44748 - Vassoura de plás?co</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 xml:space="preserve">UN   </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3</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14,99</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44,97</w:t>
            </w:r>
          </w:p>
        </w:tc>
      </w:tr>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12/08/2026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29</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44749 - Esponja  unitária</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 xml:space="preserve">UN   </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20</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4,49</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89,80</w:t>
            </w:r>
          </w:p>
        </w:tc>
      </w:tr>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12/08/2026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30</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44750 - Pano descartável rolo Mul?uso Azul 240mt</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 xml:space="preserve">UN   </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3</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124,99</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374,97</w:t>
            </w:r>
          </w:p>
        </w:tc>
      </w:tr>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12/08/2026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31</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44751 - Sabão em pó caixa 800g</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 xml:space="preserve">UN   </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5</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23,79</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118,95</w:t>
            </w:r>
          </w:p>
        </w:tc>
      </w:tr>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12/08/2026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32</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44752 - Rodo com esponja no cabo</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 xml:space="preserve">UN   </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3</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27,89</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83,67</w:t>
            </w:r>
          </w:p>
        </w:tc>
      </w:tr>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12/08/2026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33</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44753 - Limpa vidros 1L</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 xml:space="preserve">UN   </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10</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51,65</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516,50</w:t>
            </w:r>
          </w:p>
        </w:tc>
      </w:tr>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12/08/2026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34</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44754 - Sabonete líquido 1L</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 xml:space="preserve">UN   </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5</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17,99</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89,95</w:t>
            </w:r>
          </w:p>
        </w:tc>
      </w:tr>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12/08/2026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35</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44755 - Spray tira limo 500 ml</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 xml:space="preserve">UN   </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3</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29,99</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89,97</w:t>
            </w:r>
          </w:p>
        </w:tc>
      </w:tr>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12/08/2026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36</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44756 - Papel interfolhas pacote 1000 folhas</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 xml:space="preserve">UN   </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30</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32,56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976,80</w:t>
            </w:r>
          </w:p>
        </w:tc>
      </w:tr>
      <w:tr w:rsidR="00BC6DC4">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12/08/2026</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37</w:t>
            </w:r>
          </w:p>
        </w:tc>
        <w:tc>
          <w:tcPr>
            <w:tcW w:w="2221"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44757 - Esponja para limpeza de vaso sanitário</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pPr>
            <w:r>
              <w:rPr>
                <w:rFonts w:ascii="Times New Roman" w:hAnsi="Times New Roman"/>
              </w:rPr>
              <w:t xml:space="preserve">UN   </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3</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8,49</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25,47</w:t>
            </w:r>
          </w:p>
        </w:tc>
      </w:tr>
      <w:tr w:rsidR="00BC6DC4">
        <w:tc>
          <w:tcPr>
            <w:tcW w:w="900" w:type="dxa"/>
            <w:gridSpan w:val="6"/>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b/>
              </w:rPr>
              <w:t xml:space="preserve">Total </w:t>
            </w:r>
          </w:p>
        </w:tc>
        <w:tc>
          <w:tcPr>
            <w:tcW w:w="900" w:type="dxa"/>
            <w:tcBorders>
              <w:top w:val="single" w:sz="4" w:space="0" w:color="auto"/>
              <w:left w:val="single" w:sz="4" w:space="0" w:color="auto"/>
              <w:bottom w:val="single" w:sz="4" w:space="0" w:color="auto"/>
              <w:right w:val="single" w:sz="4" w:space="0" w:color="auto"/>
            </w:tcBorders>
          </w:tcPr>
          <w:p w:rsidR="00BC6DC4" w:rsidRDefault="00AA4671">
            <w:pPr>
              <w:spacing w:after="0"/>
              <w:jc w:val="right"/>
            </w:pPr>
            <w:r>
              <w:rPr>
                <w:rFonts w:ascii="Times New Roman" w:hAnsi="Times New Roman"/>
              </w:rPr>
              <w:t xml:space="preserve"> 18.790,25</w:t>
            </w:r>
          </w:p>
        </w:tc>
        <w:tc>
          <w:tcPr>
            <w:tcW w:w="900" w:type="dxa"/>
            <w:tcBorders>
              <w:top w:val="single" w:sz="4" w:space="0" w:color="auto"/>
              <w:left w:val="single" w:sz="4" w:space="0" w:color="auto"/>
              <w:bottom w:val="single" w:sz="4" w:space="0" w:color="auto"/>
              <w:right w:val="single" w:sz="4" w:space="0" w:color="auto"/>
            </w:tcBorders>
          </w:tcPr>
          <w:p w:rsidR="00BC6DC4" w:rsidRDefault="00BC6DC4">
            <w:pPr>
              <w:spacing w:after="0"/>
            </w:pPr>
          </w:p>
        </w:tc>
      </w:tr>
    </w:tbl>
    <w:p w:rsidR="00BF4548" w:rsidRPr="00617B3D" w:rsidRDefault="00BF4548" w:rsidP="008013C9">
      <w:pPr>
        <w:jc w:val="both"/>
        <w:rPr>
          <w:rFonts w:ascii="Times New Roman" w:hAnsi="Times New Roman"/>
          <w:b/>
        </w:rPr>
      </w:pPr>
      <w:r w:rsidRPr="00617B3D">
        <w:rPr>
          <w:rFonts w:ascii="Times New Roman" w:hAnsi="Times New Roman"/>
          <w:b/>
        </w:rPr>
        <w:t xml:space="preserve">2. CLÁUSULA SEGUNDA – DA VALIDADE DOS PREÇOS </w:t>
      </w:r>
    </w:p>
    <w:p w:rsidR="00BF4548" w:rsidRPr="00617B3D" w:rsidRDefault="00BF4548" w:rsidP="008013C9">
      <w:pPr>
        <w:spacing w:after="0"/>
        <w:jc w:val="both"/>
        <w:rPr>
          <w:rFonts w:ascii="Times New Roman" w:hAnsi="Times New Roman"/>
        </w:rPr>
      </w:pPr>
      <w:r w:rsidRPr="00617B3D">
        <w:rPr>
          <w:rFonts w:ascii="Times New Roman" w:hAnsi="Times New Roman"/>
        </w:rPr>
        <w:t>2.1. O prazo de validade da Ata de Registro de Preços será de 12 (doze) meses, a contar da sua assinatura.</w:t>
      </w:r>
    </w:p>
    <w:p w:rsidR="00BF4548" w:rsidRPr="00617B3D" w:rsidRDefault="00BF4548" w:rsidP="008013C9">
      <w:pPr>
        <w:spacing w:after="0"/>
        <w:jc w:val="both"/>
        <w:rPr>
          <w:rFonts w:ascii="Times New Roman" w:hAnsi="Times New Roman"/>
        </w:rPr>
      </w:pPr>
      <w:r w:rsidRPr="00617B3D">
        <w:rPr>
          <w:rFonts w:ascii="Times New Roman" w:hAnsi="Times New Roman"/>
        </w:rPr>
        <w:t>2.2. O prazo de validade da Ata de Registro de Preços poderá ser prorrogado, por igual período, desde que comprovado o preço vantajoso, nos termos do art. 84 da Lei Federal nº 14.133, de 2021.</w:t>
      </w:r>
    </w:p>
    <w:p w:rsidR="00BF4548" w:rsidRPr="00617B3D" w:rsidRDefault="00BF4548" w:rsidP="008013C9">
      <w:pPr>
        <w:spacing w:after="0"/>
        <w:jc w:val="both"/>
        <w:rPr>
          <w:rFonts w:ascii="Times New Roman" w:hAnsi="Times New Roman"/>
        </w:rPr>
      </w:pPr>
      <w:r w:rsidRPr="00617B3D">
        <w:rPr>
          <w:rFonts w:ascii="Times New Roman" w:hAnsi="Times New Roman"/>
        </w:rPr>
        <w:t>2.2.1. Em caso de prorrogação da vigência da ata de registro de preços, as quantidades inicialmente registradas serão renovadas, na sua totalidade, independentemente do quantitativo utilizado no período de vigência, não sendo possível cumular com as quantidades não utilizadas.</w:t>
      </w:r>
    </w:p>
    <w:p w:rsidR="00BF4548" w:rsidRDefault="00BF4548" w:rsidP="008013C9">
      <w:pPr>
        <w:spacing w:after="0"/>
        <w:jc w:val="both"/>
        <w:rPr>
          <w:rFonts w:ascii="Times New Roman" w:hAnsi="Times New Roman"/>
          <w:sz w:val="24"/>
          <w:szCs w:val="24"/>
        </w:rPr>
      </w:pPr>
    </w:p>
    <w:p w:rsidR="00BF4548" w:rsidRPr="00C17A50" w:rsidRDefault="00BF4548" w:rsidP="008013C9">
      <w:pPr>
        <w:spacing w:after="0"/>
        <w:jc w:val="both"/>
        <w:rPr>
          <w:rFonts w:ascii="Times New Roman" w:hAnsi="Times New Roman"/>
          <w:b/>
        </w:rPr>
      </w:pPr>
      <w:r w:rsidRPr="00C17A50">
        <w:rPr>
          <w:rFonts w:ascii="Times New Roman" w:hAnsi="Times New Roman"/>
          <w:b/>
        </w:rPr>
        <w:t>3. CLÁUSULA TERCEIRA – DA UTILIZAÇÃO DA ATA DE REGISTRO DE PREÇOS</w:t>
      </w:r>
    </w:p>
    <w:p w:rsidR="00BF4548" w:rsidRPr="00C17A50" w:rsidRDefault="00BF4548" w:rsidP="008013C9">
      <w:pPr>
        <w:spacing w:after="0"/>
        <w:jc w:val="both"/>
        <w:rPr>
          <w:rFonts w:ascii="Times New Roman" w:hAnsi="Times New Roman"/>
        </w:rPr>
      </w:pPr>
      <w:r w:rsidRPr="00C17A50">
        <w:rPr>
          <w:rFonts w:ascii="Times New Roman" w:hAnsi="Times New Roman"/>
        </w:rPr>
        <w:t>3.1.</w:t>
      </w:r>
      <w:r w:rsidRPr="00C17A50">
        <w:rPr>
          <w:rFonts w:ascii="Times New Roman" w:hAnsi="Times New Roman"/>
          <w:b/>
        </w:rPr>
        <w:t xml:space="preserve"> </w:t>
      </w:r>
      <w:r w:rsidRPr="00C17A50">
        <w:rPr>
          <w:rFonts w:ascii="Times New Roman" w:hAnsi="Times New Roman"/>
        </w:rPr>
        <w:t xml:space="preserve">A presente Ata de Registro de Preços será utilizada pelo MUNICÍPIO DE AGRONÔMICA, que será o órgão gerenciados da presente Ata. </w:t>
      </w:r>
    </w:p>
    <w:p w:rsidR="00BF4548" w:rsidRDefault="00BF4548" w:rsidP="008013C9">
      <w:pPr>
        <w:spacing w:after="0"/>
        <w:jc w:val="both"/>
        <w:rPr>
          <w:rFonts w:ascii="Times New Roman" w:hAnsi="Times New Roman"/>
        </w:rPr>
      </w:pPr>
      <w:r w:rsidRPr="00C17A50">
        <w:rPr>
          <w:rFonts w:ascii="Times New Roman" w:hAnsi="Times New Roman"/>
        </w:rPr>
        <w:t>3.2. O valor ofertado pela empresa signatária da presente Ata de Registro de Preços é o relacionado na Cláusula Primeira, de acordo com a respectiva classificação no DL 07/2026.</w:t>
      </w:r>
    </w:p>
    <w:p w:rsidR="00BF4548" w:rsidRPr="00C17A50" w:rsidRDefault="00BF4548" w:rsidP="008013C9">
      <w:pPr>
        <w:spacing w:after="0"/>
        <w:jc w:val="both"/>
        <w:rPr>
          <w:rFonts w:ascii="Times New Roman" w:hAnsi="Times New Roman"/>
        </w:rPr>
      </w:pPr>
    </w:p>
    <w:p w:rsidR="00BF4548" w:rsidRDefault="00BF4548" w:rsidP="008013C9">
      <w:pPr>
        <w:spacing w:after="0"/>
        <w:jc w:val="both"/>
        <w:rPr>
          <w:rFonts w:ascii="Times New Roman" w:hAnsi="Times New Roman"/>
        </w:rPr>
      </w:pPr>
      <w:r w:rsidRPr="00C17A50">
        <w:rPr>
          <w:rFonts w:ascii="Times New Roman" w:hAnsi="Times New Roman"/>
        </w:rPr>
        <w:t>3.3. Em cada fornecimento decorrente desta Ata, serão observadas as cláusulas e condições constantes do Edital de Pregão Eletrônico nº DL 07/2026</w:t>
      </w:r>
      <w:r>
        <w:rPr>
          <w:rFonts w:ascii="Times New Roman" w:hAnsi="Times New Roman"/>
        </w:rPr>
        <w:t xml:space="preserve"> </w:t>
      </w:r>
      <w:r w:rsidRPr="00C17A50">
        <w:rPr>
          <w:rFonts w:ascii="Times New Roman" w:hAnsi="Times New Roman"/>
        </w:rPr>
        <w:t>e seus Anexos, que a precederam e integram o presente instrumento de compromisso.</w:t>
      </w:r>
    </w:p>
    <w:p w:rsidR="00BF4548" w:rsidRDefault="00BF4548" w:rsidP="008013C9">
      <w:pPr>
        <w:jc w:val="both"/>
        <w:rPr>
          <w:rFonts w:ascii="Times New Roman" w:hAnsi="Times New Roman"/>
          <w:b/>
        </w:rPr>
      </w:pPr>
    </w:p>
    <w:p w:rsidR="00BF4548" w:rsidRDefault="00BF4548" w:rsidP="008013C9">
      <w:pPr>
        <w:jc w:val="both"/>
        <w:rPr>
          <w:rFonts w:ascii="Times New Roman" w:hAnsi="Times New Roman"/>
        </w:rPr>
      </w:pPr>
      <w:r w:rsidRPr="00C17A50">
        <w:rPr>
          <w:rFonts w:ascii="Times New Roman" w:hAnsi="Times New Roman"/>
          <w:b/>
        </w:rPr>
        <w:t xml:space="preserve">4. CLÁUSULA QUARTA – DOTAÇÃO ORÇAMENTÁRIA E PAGAMENTO </w:t>
      </w:r>
      <w:r>
        <w:rPr>
          <w:rFonts w:ascii="Times New Roman" w:hAnsi="Times New Roman"/>
          <w:b/>
        </w:rPr>
        <w:br/>
      </w:r>
      <w:r w:rsidRPr="00C17A50">
        <w:rPr>
          <w:rFonts w:ascii="Times New Roman" w:hAnsi="Times New Roman"/>
        </w:rPr>
        <w:t>4.1. As despesas decorrentes da presente Ata serão efetuadas à conta do seguinte recurso financeiro:</w:t>
      </w:r>
    </w:p>
    <w:p w:rsidR="00BF4548" w:rsidRDefault="00BF4548" w:rsidP="008013C9">
      <w:pPr>
        <w:jc w:val="both"/>
        <w:rPr>
          <w:rFonts w:ascii="Times New Roman" w:hAnsi="Times New Roman" w:cs="Times New Roman"/>
        </w:rPr>
      </w:pPr>
      <w:r w:rsidRPr="00BF4548">
        <w:rPr>
          <w:rFonts w:ascii="Times New Roman" w:hAnsi="Times New Roman" w:cs="Times New Roman"/>
        </w:rPr>
        <w:t xml:space="preserve">353 - 7 . 1001 . 1 . 31 . 1 . 2.101 . 0 . 339000 Aplicações Diretas </w:t>
      </w:r>
    </w:p>
    <w:p w:rsidR="00BF4548" w:rsidRPr="00BF4548" w:rsidRDefault="00BF4548" w:rsidP="008013C9">
      <w:pPr>
        <w:jc w:val="both"/>
        <w:rPr>
          <w:rFonts w:ascii="Times New Roman" w:hAnsi="Times New Roman" w:cs="Times New Roman"/>
        </w:rPr>
      </w:pPr>
      <w:r w:rsidRPr="00BF4548">
        <w:rPr>
          <w:rFonts w:ascii="Times New Roman" w:hAnsi="Times New Roman" w:cs="Times New Roman"/>
        </w:rPr>
        <w:t>4.2. O pagamento será efetuado pelo Município, em até 30 (trinta) dias após a emissão da Nota Fiscal, mediante recebimento definitivo do objeto, cujo pagamento será efetuado através de crédito em conta corrente em banco, número e agência indicados, diretamente ao fornecedor.</w:t>
      </w:r>
    </w:p>
    <w:p w:rsidR="00BF4548" w:rsidRPr="00BF4548" w:rsidRDefault="00BF4548" w:rsidP="008013C9">
      <w:pPr>
        <w:jc w:val="both"/>
        <w:rPr>
          <w:rFonts w:ascii="Times New Roman" w:hAnsi="Times New Roman" w:cs="Times New Roman"/>
        </w:rPr>
      </w:pPr>
      <w:r w:rsidRPr="00BF4548">
        <w:rPr>
          <w:rFonts w:ascii="Times New Roman" w:hAnsi="Times New Roman" w:cs="Times New Roman"/>
        </w:rPr>
        <w:t>4.3. O recebimento definitivo implica na entrega total dos itens pela empresa, em todos os locais e resolução de todas as pendências.</w:t>
      </w:r>
    </w:p>
    <w:p w:rsidR="00BF4548" w:rsidRPr="00BF4548" w:rsidRDefault="00BF4548" w:rsidP="008013C9">
      <w:pPr>
        <w:jc w:val="both"/>
        <w:rPr>
          <w:rFonts w:ascii="Times New Roman" w:hAnsi="Times New Roman" w:cs="Times New Roman"/>
        </w:rPr>
      </w:pPr>
      <w:r w:rsidRPr="00BF4548">
        <w:rPr>
          <w:rFonts w:ascii="Times New Roman" w:hAnsi="Times New Roman" w:cs="Times New Roman"/>
        </w:rPr>
        <w:t>4.4. O Município, quando exigível por força da legislação em vigor, efetuará as retenções dos impostos e contribuições devidos, devendo o fornecedor destacar o valor da retenção na Nota Fiscal, a título de “retenção” para (nome do imposto e ou contribuição), bem como cumprir as determinações contidas em lei.</w:t>
      </w:r>
    </w:p>
    <w:p w:rsidR="00BF4548" w:rsidRPr="00BF4548" w:rsidRDefault="00BF4548" w:rsidP="008013C9">
      <w:pPr>
        <w:spacing w:after="0"/>
        <w:jc w:val="both"/>
        <w:rPr>
          <w:rFonts w:ascii="Times New Roman" w:hAnsi="Times New Roman" w:cs="Times New Roman"/>
          <w:b/>
        </w:rPr>
      </w:pPr>
      <w:r w:rsidRPr="00BF4548">
        <w:rPr>
          <w:rFonts w:ascii="Times New Roman" w:hAnsi="Times New Roman" w:cs="Times New Roman"/>
          <w:b/>
        </w:rPr>
        <w:t>CLÁUSULA QUINTA – DAS CONDIÇÕES DE ENTREGA</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5.1. O pr</w:t>
      </w:r>
      <w:r w:rsidR="00AA4671">
        <w:rPr>
          <w:rFonts w:ascii="Times New Roman" w:hAnsi="Times New Roman" w:cs="Times New Roman"/>
        </w:rPr>
        <w:t xml:space="preserve">azo de entrega é de 1 (um) dia útil </w:t>
      </w:r>
      <w:r w:rsidRPr="00BF4548">
        <w:rPr>
          <w:rFonts w:ascii="Times New Roman" w:hAnsi="Times New Roman" w:cs="Times New Roman"/>
        </w:rPr>
        <w:t xml:space="preserve">contados do recebimento da Ordem de Compra. </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5.2. Local de entrega: Município de Agronômica.</w:t>
      </w:r>
      <w:bookmarkStart w:id="0" w:name="_GoBack"/>
      <w:bookmarkEnd w:id="0"/>
    </w:p>
    <w:p w:rsidR="00BF4548" w:rsidRPr="00BF4548" w:rsidRDefault="00BF4548" w:rsidP="008013C9">
      <w:pPr>
        <w:spacing w:after="0"/>
        <w:jc w:val="both"/>
        <w:rPr>
          <w:rFonts w:ascii="Times New Roman" w:hAnsi="Times New Roman" w:cs="Times New Roman"/>
        </w:rPr>
      </w:pPr>
    </w:p>
    <w:p w:rsidR="00BF4548" w:rsidRPr="00BF4548" w:rsidRDefault="00BF4548" w:rsidP="008013C9">
      <w:pPr>
        <w:spacing w:after="0"/>
        <w:jc w:val="both"/>
        <w:rPr>
          <w:rFonts w:ascii="Times New Roman" w:hAnsi="Times New Roman" w:cs="Times New Roman"/>
          <w:b/>
        </w:rPr>
      </w:pPr>
      <w:r w:rsidRPr="00BF4548">
        <w:rPr>
          <w:rFonts w:ascii="Times New Roman" w:hAnsi="Times New Roman" w:cs="Times New Roman"/>
          <w:b/>
        </w:rPr>
        <w:t xml:space="preserve">6. CLÁUSULA SEXTA – DAS PENALIDADES </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6.1. Comete infração administrativa, nos termos da Lei nº 14.133, de 2021, o fornecedor que:</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a) der causa à inexecução parcial da ata;</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 xml:space="preserve">b) der causa à inexecução parcial da ata que cause grave dano à Administração ou ao funcionamento dos serviços públicos ou ao interesse coletivo; </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 xml:space="preserve">c) der causa à inexecução total da ata; </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 xml:space="preserve">d) ensejar o retardamento da execução ou da entrega do objeto da contratação sem motivo justificado; </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 xml:space="preserve">e) apresentar documentação falsa ou prestar declaração falsa durante a execução da ata; </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 xml:space="preserve">f) praticar ato fraudulento na execução da ata; </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g) comportar-se de modo inidôneo ou cometer fraude de qualquer natureza;</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 xml:space="preserve"> h) praticar ato lesivo previsto no art. 5º da Lei nº 12.846, de 1º de agosto de 2013. </w:t>
      </w:r>
    </w:p>
    <w:p w:rsidR="00BF4548" w:rsidRPr="00BF4548" w:rsidRDefault="00BF4548" w:rsidP="008013C9">
      <w:pPr>
        <w:spacing w:after="0"/>
        <w:jc w:val="both"/>
        <w:rPr>
          <w:rFonts w:ascii="Times New Roman" w:hAnsi="Times New Roman" w:cs="Times New Roman"/>
        </w:rPr>
      </w:pP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 xml:space="preserve">6.2. Serão aplicadas ao fornecedor que incorrer nas infrações acima descritas as seguintes sanções: </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6.2.1. Advertência, quando o fornecedor der causa à inexecução parcial da ata, sempre que não se justificar a imposição de penalidade mais grave;</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 xml:space="preserve">6.2.2. Impedimento de licitar e contratar, quando praticadas as condutas descritas nas alíneas “b”, “c” e “d” do subitem acima, sempre que não se justificar a imposição de penalidade mais grave; </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 xml:space="preserve">6.2.3. Declaração de inidoneidade para licitar e contratar, quando praticadas as condutas descritas nas alíneas “e”, “f”, “g” e “h” do subitem acima, bem como nas alíneas “b”, “c” e “d”, que justifiquem a imposição de penalidade mais grave; </w:t>
      </w:r>
    </w:p>
    <w:p w:rsidR="00BF4548" w:rsidRPr="00BF4548" w:rsidRDefault="00BF4548" w:rsidP="008013C9">
      <w:pPr>
        <w:spacing w:after="0"/>
        <w:jc w:val="both"/>
        <w:rPr>
          <w:rFonts w:ascii="Times New Roman" w:hAnsi="Times New Roman" w:cs="Times New Roman"/>
        </w:rPr>
      </w:pPr>
    </w:p>
    <w:p w:rsidR="00BF4548" w:rsidRPr="00BF4548" w:rsidRDefault="00BF4548" w:rsidP="008013C9">
      <w:pPr>
        <w:spacing w:after="0"/>
        <w:jc w:val="both"/>
        <w:rPr>
          <w:rFonts w:ascii="Times New Roman" w:hAnsi="Times New Roman" w:cs="Times New Roman"/>
          <w:b/>
        </w:rPr>
      </w:pPr>
      <w:r w:rsidRPr="00BF4548">
        <w:rPr>
          <w:rFonts w:ascii="Times New Roman" w:hAnsi="Times New Roman" w:cs="Times New Roman"/>
          <w:b/>
        </w:rPr>
        <w:t xml:space="preserve">6.3. Multa: </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 xml:space="preserve">6.3.1. </w:t>
      </w:r>
      <w:proofErr w:type="gramStart"/>
      <w:r w:rsidRPr="00BF4548">
        <w:rPr>
          <w:rFonts w:ascii="Times New Roman" w:hAnsi="Times New Roman" w:cs="Times New Roman"/>
        </w:rPr>
        <w:t>moratória</w:t>
      </w:r>
      <w:proofErr w:type="gramEnd"/>
      <w:r w:rsidRPr="00BF4548">
        <w:rPr>
          <w:rFonts w:ascii="Times New Roman" w:hAnsi="Times New Roman" w:cs="Times New Roman"/>
        </w:rPr>
        <w:t xml:space="preserve"> de 0,5% (cinco décimos por cento) por dia de atraso injustificado sobre o valor da parcela inadimplida, até o limite de 30 (trinta) dias; </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 xml:space="preserve">6.3.2. </w:t>
      </w:r>
      <w:proofErr w:type="gramStart"/>
      <w:r w:rsidRPr="00BF4548">
        <w:rPr>
          <w:rFonts w:ascii="Times New Roman" w:hAnsi="Times New Roman" w:cs="Times New Roman"/>
        </w:rPr>
        <w:t>compensatória</w:t>
      </w:r>
      <w:proofErr w:type="gramEnd"/>
      <w:r w:rsidRPr="00BF4548">
        <w:rPr>
          <w:rFonts w:ascii="Times New Roman" w:hAnsi="Times New Roman" w:cs="Times New Roman"/>
        </w:rPr>
        <w:t xml:space="preserve"> de 20% (vinte por cento) sobre o valor total da ata, no caso de inexecução total do objeto e demais transgressões elencadas no subitem 6.1. </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 xml:space="preserve">6.4. A aplicação das sanções previstas nesta ata não exclui, em hipótese alguma, a obrigação de reparação integral do dano causado ao Município. </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6.5. Todas as sanções previstas nesta ata poderão ser aplicadas cumulativamente com a multa. 6.6. Antes da aplicação da multa será facultada a defesa do interessado no prazo de 15 (quinze) dias úteis, contado da data de sua intimação.</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 xml:space="preserve">6.7. Se a multa aplicada e as indenizações cabíveis forem superiores ao valor do pagamento eventualmente devido pelo Município ao fornecedor, além da perda desse valor, a diferença será descontada da garantia prestada, se houver, ou será cobrada judicialmente. </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 xml:space="preserve">6.8. Previamente ao encaminhamento à cobrança judicial, a multa poderá ser recolhida administrativamente no prazo máximo de 30 (trinta) dias, a contar da data do recebimento da comunicação enviada pela autoridade competente. </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 xml:space="preserve">6.9. A aplicação das sanções realizar-se-á em processo administrativo que assegure o contraditório e a ampla defesa ao Fornecedor, observando-se o procedimento previsto no caput e parágrafos do art. 158 da Lei nº 14.133, de 2021. </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6.10. Na aplicação das sanções serão considerados:</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 xml:space="preserve">a) a natureza e a gravidade da infração cometida; </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 xml:space="preserve">b) as peculiaridades do caso concreto; </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 xml:space="preserve">c) as circunstâncias agravantes ou atenuantes; </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 xml:space="preserve">d) os danos que dela provierem para o Órgão Gerenciador; </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 xml:space="preserve">e) a implantação ou o aperfeiçoamento de programa de integridade, conforme normas e orientações dos órgãos de controle. </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 xml:space="preserve">6.11. 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6.12. A personalidade jurídica do fornecedor poderá ser desconsiderada sempre que utilizada com abuso do direito para facilitar, encobrir ou dissimular a prática dos atos ilícitos previstos nesta ata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fornecedor, observados, em todos os casos, o contraditório, a ampla defesa e a obrigatoriedade de análise jurídica prévia.</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6.13. O Município deverá, no prazo máximo de 15 (quinze) dias úteis, contado da data de aplicação da sanção, informar e manter atualizados os dados relativos às sanções por ela aplicadas, para fins de publicidade no Cadastro Nacional de Empresas Inidôneas e Suspensas (</w:t>
      </w:r>
      <w:proofErr w:type="spellStart"/>
      <w:r w:rsidRPr="00BF4548">
        <w:rPr>
          <w:rFonts w:ascii="Times New Roman" w:hAnsi="Times New Roman" w:cs="Times New Roman"/>
        </w:rPr>
        <w:t>Ceis</w:t>
      </w:r>
      <w:proofErr w:type="spellEnd"/>
      <w:r w:rsidRPr="00BF4548">
        <w:rPr>
          <w:rFonts w:ascii="Times New Roman" w:hAnsi="Times New Roman" w:cs="Times New Roman"/>
        </w:rPr>
        <w:t>) e no Cadastro Nacional de Empresas Punidas (</w:t>
      </w:r>
      <w:proofErr w:type="spellStart"/>
      <w:r w:rsidRPr="00BF4548">
        <w:rPr>
          <w:rFonts w:ascii="Times New Roman" w:hAnsi="Times New Roman" w:cs="Times New Roman"/>
        </w:rPr>
        <w:t>Cnep</w:t>
      </w:r>
      <w:proofErr w:type="spellEnd"/>
      <w:r w:rsidRPr="00BF4548">
        <w:rPr>
          <w:rFonts w:ascii="Times New Roman" w:hAnsi="Times New Roman" w:cs="Times New Roman"/>
        </w:rPr>
        <w:t>), instituídos no âmbito do Poder Executivo Federal.</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6.14. As sanções de impedimento de licitar e contratar e declaração de inidoneidade para licitar ou contratar são passíveis de reabilitação na forma do art. 163 da Lei nº 14.133/21.</w:t>
      </w:r>
    </w:p>
    <w:p w:rsidR="008013C9" w:rsidRDefault="00BF4548" w:rsidP="008013C9">
      <w:pPr>
        <w:spacing w:after="0"/>
        <w:jc w:val="both"/>
        <w:rPr>
          <w:rFonts w:ascii="Times New Roman" w:hAnsi="Times New Roman" w:cs="Times New Roman"/>
        </w:rPr>
      </w:pPr>
      <w:r w:rsidRPr="00BF4548">
        <w:rPr>
          <w:rFonts w:ascii="Times New Roman" w:hAnsi="Times New Roman" w:cs="Times New Roman"/>
        </w:rPr>
        <w:t>6.15. Os débitos do Fornecedor para com a Administração contratante, resultantes de multa administrativa e/ou indenizações, não inscritos em dívida ativa, poderão ser compensados, total ou parcialmente, com os créditos devidos pelo referido órgão decorrentes desta mesma Ata ou de outros contratos administrativos que o Fornecedor possua com o mesmo órgão ora contratante, na forma da Instrução Normativa SEGES/ME nº 26, de 13 de abril de 2022, ou outra que vier a substituí-la.</w:t>
      </w:r>
    </w:p>
    <w:p w:rsidR="008013C9" w:rsidRPr="008013C9" w:rsidRDefault="008013C9" w:rsidP="008013C9">
      <w:pPr>
        <w:spacing w:after="0"/>
        <w:jc w:val="both"/>
        <w:rPr>
          <w:rFonts w:ascii="Times New Roman" w:hAnsi="Times New Roman" w:cs="Times New Roman"/>
        </w:rPr>
      </w:pPr>
    </w:p>
    <w:p w:rsidR="00BF4548" w:rsidRPr="00BF4548" w:rsidRDefault="00BF4548" w:rsidP="008013C9">
      <w:pPr>
        <w:jc w:val="both"/>
        <w:rPr>
          <w:rFonts w:ascii="Times New Roman" w:hAnsi="Times New Roman" w:cs="Times New Roman"/>
          <w:b/>
          <w:bCs/>
        </w:rPr>
      </w:pPr>
      <w:r w:rsidRPr="00BF4548">
        <w:rPr>
          <w:rFonts w:ascii="Times New Roman" w:hAnsi="Times New Roman" w:cs="Times New Roman"/>
          <w:b/>
          <w:bCs/>
        </w:rPr>
        <w:t>7. CLÁUSULA SÉTIMA – DO REAJUSTAMENTO E REVISÃO DOS PREÇOS</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7.1. Os preços registrados são fixos e irreajustáveis no prazo de um ano contados a partir da data limite para apresentação das propostas.</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7.2. Após o interregno de um ano, os preços iniciais poderão ser reajustados, mediante a aplicação do índice INPC (Índices Nacional de Preços ao Consumidor do IBGE), exclusivamente para as obrigações iniciadas e concluídas após a ocorrência da anualidade.</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 xml:space="preserve">7.3. O reajuste será precedido de solicitação do fornecedor, que deverá ser realizada por meio de e-mail, através do endereço eletrônico </w:t>
      </w:r>
      <w:hyperlink r:id="rId6" w:history="1">
        <w:r w:rsidRPr="00BF4548">
          <w:rPr>
            <w:rStyle w:val="Hyperlink"/>
            <w:rFonts w:ascii="Times New Roman" w:hAnsi="Times New Roman" w:cs="Times New Roman"/>
          </w:rPr>
          <w:t>licitacao@agronomica.sc.gov.br</w:t>
        </w:r>
      </w:hyperlink>
      <w:r w:rsidRPr="00BF4548">
        <w:rPr>
          <w:rFonts w:ascii="Times New Roman" w:hAnsi="Times New Roman" w:cs="Times New Roman"/>
        </w:rPr>
        <w:t xml:space="preserve">. </w:t>
      </w:r>
      <w:r w:rsidRPr="00BF4548">
        <w:rPr>
          <w:rFonts w:ascii="Times New Roman" w:hAnsi="Times New Roman" w:cs="Times New Roman"/>
        </w:rPr>
        <w:tab/>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7.4. A concessão do reajuste de preços deverá ser autorizada pelo gestor da Unidade Demandante.</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7.5. Nos reajustes subsequentes ao primeiro, o interregno mínimo de um ano será contado a partir dos efeitos financeiros do último reajuste.</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7.6. Quando o termo inicial do interregno de 12 (doze) meses coincidir com o primeiro dia do mês ou no caso de indisponibilidade do índice de reajuste pactuado, será aplicada a metodologia de recuo de mês e os reajustes subsequentes ocorrerão nos aniversários seguintes, aplicando-se a variação ocorrida no último período.</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 xml:space="preserve">7.7. Nas aferições finais, </w:t>
      </w:r>
      <w:proofErr w:type="gramStart"/>
      <w:r w:rsidRPr="00BF4548">
        <w:rPr>
          <w:rFonts w:ascii="Times New Roman" w:hAnsi="Times New Roman" w:cs="Times New Roman"/>
        </w:rPr>
        <w:t>o(</w:t>
      </w:r>
      <w:proofErr w:type="gramEnd"/>
      <w:r w:rsidRPr="00BF4548">
        <w:rPr>
          <w:rFonts w:ascii="Times New Roman" w:hAnsi="Times New Roman" w:cs="Times New Roman"/>
        </w:rPr>
        <w:t>s) índice(s) utilizado(s) para reajuste será(</w:t>
      </w:r>
      <w:proofErr w:type="spellStart"/>
      <w:r w:rsidRPr="00BF4548">
        <w:rPr>
          <w:rFonts w:ascii="Times New Roman" w:hAnsi="Times New Roman" w:cs="Times New Roman"/>
        </w:rPr>
        <w:t>ão</w:t>
      </w:r>
      <w:proofErr w:type="spellEnd"/>
      <w:r w:rsidRPr="00BF4548">
        <w:rPr>
          <w:rFonts w:ascii="Times New Roman" w:hAnsi="Times New Roman" w:cs="Times New Roman"/>
        </w:rPr>
        <w:t>), obrigatoriamente, o(s) definitivo(s).</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 xml:space="preserve">7.8. Caso </w:t>
      </w:r>
      <w:proofErr w:type="gramStart"/>
      <w:r w:rsidRPr="00BF4548">
        <w:rPr>
          <w:rFonts w:ascii="Times New Roman" w:hAnsi="Times New Roman" w:cs="Times New Roman"/>
        </w:rPr>
        <w:t>o(</w:t>
      </w:r>
      <w:proofErr w:type="gramEnd"/>
      <w:r w:rsidRPr="00BF4548">
        <w:rPr>
          <w:rFonts w:ascii="Times New Roman" w:hAnsi="Times New Roman" w:cs="Times New Roman"/>
        </w:rPr>
        <w:t>s) índice(s) estabelecido(s) para reajustamento venha(m) a ser extinto(s) ou de qualquer forma não possa(m) mais ser utilizado(s), será(</w:t>
      </w:r>
      <w:proofErr w:type="spellStart"/>
      <w:r w:rsidRPr="00BF4548">
        <w:rPr>
          <w:rFonts w:ascii="Times New Roman" w:hAnsi="Times New Roman" w:cs="Times New Roman"/>
        </w:rPr>
        <w:t>ão</w:t>
      </w:r>
      <w:proofErr w:type="spellEnd"/>
      <w:r w:rsidRPr="00BF4548">
        <w:rPr>
          <w:rFonts w:ascii="Times New Roman" w:hAnsi="Times New Roman" w:cs="Times New Roman"/>
        </w:rPr>
        <w:t>) adotado(s), em substituição, o(s) que vier(em) a ser determinado(s) pela legislação então em vigor.</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7.9. Na ausência de previsão legal quanto ao índice substituto, as partes elegerão novo índice oficial, para reajustamento do preço do valor remanescente, por meio de termo aditivo.</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7.10. Fica assegurado o direito a revisão dos preços avençados, sempre que houver desequilíbrio na equação econômico-financeira firmada, decorrente de força maior, caso fortuito ou fato do príncipe.</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7.11. A Administração terá por obrigação acompanhar, por meio do fiscal da Ata, em conjunto com o gestor da Unidade Demandante, auxiliados pela Divisão de Fiscalização de Contratos e Orçamentos, os preços registrados, agindo sempre que o desequilíbrio econômico-financeiro acarretar em ônus ao erário.</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7.12. A Administração não agirá de ofício quando o resultado da revisão incorrer em benefício ao fornecedor.</w:t>
      </w:r>
    </w:p>
    <w:p w:rsidR="00BF4548" w:rsidRPr="00BF4548" w:rsidRDefault="00BF4548" w:rsidP="008013C9">
      <w:pPr>
        <w:spacing w:after="0"/>
        <w:jc w:val="both"/>
        <w:rPr>
          <w:rFonts w:ascii="Times New Roman" w:hAnsi="Times New Roman" w:cs="Times New Roman"/>
        </w:rPr>
      </w:pPr>
    </w:p>
    <w:p w:rsidR="00BF4548" w:rsidRPr="00BF4548" w:rsidRDefault="00BF4548" w:rsidP="008013C9">
      <w:pPr>
        <w:spacing w:after="0"/>
        <w:jc w:val="both"/>
        <w:rPr>
          <w:rFonts w:ascii="Times New Roman" w:hAnsi="Times New Roman" w:cs="Times New Roman"/>
          <w:b/>
          <w:bCs/>
        </w:rPr>
      </w:pPr>
      <w:r w:rsidRPr="00BF4548">
        <w:rPr>
          <w:rFonts w:ascii="Times New Roman" w:hAnsi="Times New Roman" w:cs="Times New Roman"/>
          <w:b/>
          <w:bCs/>
        </w:rPr>
        <w:t>8. CLÁUSULA OITAVA – DO CANCELAMENTO DA ATA DE REGISTRO DE PREÇOS</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8.1. O fornecedor terá seu registro cancelado quando:</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 xml:space="preserve">8.1.1. </w:t>
      </w:r>
      <w:proofErr w:type="gramStart"/>
      <w:r w:rsidRPr="00BF4548">
        <w:rPr>
          <w:rFonts w:ascii="Times New Roman" w:hAnsi="Times New Roman" w:cs="Times New Roman"/>
        </w:rPr>
        <w:t>descumprir</w:t>
      </w:r>
      <w:proofErr w:type="gramEnd"/>
      <w:r w:rsidRPr="00BF4548">
        <w:rPr>
          <w:rFonts w:ascii="Times New Roman" w:hAnsi="Times New Roman" w:cs="Times New Roman"/>
        </w:rPr>
        <w:t xml:space="preserve"> as condições da Ata de Registro de Preços;</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 xml:space="preserve">8.1.2. </w:t>
      </w:r>
      <w:proofErr w:type="gramStart"/>
      <w:r w:rsidRPr="00BF4548">
        <w:rPr>
          <w:rFonts w:ascii="Times New Roman" w:hAnsi="Times New Roman" w:cs="Times New Roman"/>
        </w:rPr>
        <w:t>não</w:t>
      </w:r>
      <w:proofErr w:type="gramEnd"/>
      <w:r w:rsidRPr="00BF4548">
        <w:rPr>
          <w:rFonts w:ascii="Times New Roman" w:hAnsi="Times New Roman" w:cs="Times New Roman"/>
        </w:rPr>
        <w:t xml:space="preserve"> retirar a nota de empenho e ou autorização de fornecimento de compra no prazo estabelecido pela Administração, sem justificativa aceitável;</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 xml:space="preserve">8.1.3. </w:t>
      </w:r>
      <w:proofErr w:type="gramStart"/>
      <w:r w:rsidRPr="00BF4548">
        <w:rPr>
          <w:rFonts w:ascii="Times New Roman" w:hAnsi="Times New Roman" w:cs="Times New Roman"/>
        </w:rPr>
        <w:t>não</w:t>
      </w:r>
      <w:proofErr w:type="gramEnd"/>
      <w:r w:rsidRPr="00BF4548">
        <w:rPr>
          <w:rFonts w:ascii="Times New Roman" w:hAnsi="Times New Roman" w:cs="Times New Roman"/>
        </w:rPr>
        <w:t xml:space="preserve"> aceitar reduzir o seu preço registrado, na hipótese de este se tornar superior àqueles praticados no mercado;</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 xml:space="preserve">8.1.4. </w:t>
      </w:r>
      <w:proofErr w:type="gramStart"/>
      <w:r w:rsidRPr="00BF4548">
        <w:rPr>
          <w:rFonts w:ascii="Times New Roman" w:hAnsi="Times New Roman" w:cs="Times New Roman"/>
        </w:rPr>
        <w:t>tiver</w:t>
      </w:r>
      <w:proofErr w:type="gramEnd"/>
      <w:r w:rsidRPr="00BF4548">
        <w:rPr>
          <w:rFonts w:ascii="Times New Roman" w:hAnsi="Times New Roman" w:cs="Times New Roman"/>
        </w:rPr>
        <w:t xml:space="preserve"> presentes razões de interesse público;</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 xml:space="preserve">8.1.5. </w:t>
      </w:r>
      <w:proofErr w:type="gramStart"/>
      <w:r w:rsidRPr="00BF4548">
        <w:rPr>
          <w:rFonts w:ascii="Times New Roman" w:hAnsi="Times New Roman" w:cs="Times New Roman"/>
        </w:rPr>
        <w:t>sofrer</w:t>
      </w:r>
      <w:proofErr w:type="gramEnd"/>
      <w:r w:rsidRPr="00BF4548">
        <w:rPr>
          <w:rFonts w:ascii="Times New Roman" w:hAnsi="Times New Roman" w:cs="Times New Roman"/>
        </w:rPr>
        <w:t xml:space="preserve"> sanções impeditivas previstas em lei;</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 xml:space="preserve">8.1.6. </w:t>
      </w:r>
      <w:proofErr w:type="gramStart"/>
      <w:r w:rsidRPr="00BF4548">
        <w:rPr>
          <w:rFonts w:ascii="Times New Roman" w:hAnsi="Times New Roman" w:cs="Times New Roman"/>
        </w:rPr>
        <w:t>for</w:t>
      </w:r>
      <w:proofErr w:type="gramEnd"/>
      <w:r w:rsidRPr="00BF4548">
        <w:rPr>
          <w:rFonts w:ascii="Times New Roman" w:hAnsi="Times New Roman" w:cs="Times New Roman"/>
        </w:rPr>
        <w:t xml:space="preserve"> declarado inidôneo ou impedido de licitar ou contratar com o Município de Agronômica, nos termos do artigo 156, inciso IV, da Lei Federal nº. 14.133, de 2021.</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8.2. O cancelamento do registro de preços, nas hipóteses previstas, assegurados o contraditório e a ampla defesa, serão formalizados por despacho da autoridade competente.</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8.3. O cancelamento do registro de preços poderá ocorrer por fato superveniente, decorrente de caso fortuito ou força maior, que prejudique o cumprimento da ata, devidamente comprovados e justificados:</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 xml:space="preserve">8.3.1. </w:t>
      </w:r>
      <w:proofErr w:type="gramStart"/>
      <w:r w:rsidRPr="00BF4548">
        <w:rPr>
          <w:rFonts w:ascii="Times New Roman" w:hAnsi="Times New Roman" w:cs="Times New Roman"/>
        </w:rPr>
        <w:t>por</w:t>
      </w:r>
      <w:proofErr w:type="gramEnd"/>
      <w:r w:rsidRPr="00BF4548">
        <w:rPr>
          <w:rFonts w:ascii="Times New Roman" w:hAnsi="Times New Roman" w:cs="Times New Roman"/>
        </w:rPr>
        <w:t xml:space="preserve"> razão de interesse público; ou</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 xml:space="preserve">8.3.2. a pedido do fornecedor, que deverá ser formalizado por meio de protocolo digital, através do endereço eletrônico </w:t>
      </w:r>
      <w:hyperlink r:id="rId7" w:history="1">
        <w:r w:rsidRPr="00BF4548">
          <w:rPr>
            <w:rStyle w:val="Hyperlink"/>
            <w:rFonts w:ascii="Times New Roman" w:hAnsi="Times New Roman" w:cs="Times New Roman"/>
          </w:rPr>
          <w:t>licitacao@agronomica.sc.gov.br</w:t>
        </w:r>
      </w:hyperlink>
      <w:r w:rsidRPr="00BF4548">
        <w:rPr>
          <w:rFonts w:ascii="Times New Roman" w:hAnsi="Times New Roman" w:cs="Times New Roman"/>
        </w:rPr>
        <w:t>;</w:t>
      </w:r>
      <w:r w:rsidRPr="00BF4548">
        <w:rPr>
          <w:rFonts w:ascii="Times New Roman" w:hAnsi="Times New Roman" w:cs="Times New Roman"/>
        </w:rPr>
        <w:tab/>
      </w:r>
    </w:p>
    <w:p w:rsidR="00BF4548" w:rsidRPr="00BF4548" w:rsidRDefault="00BF4548" w:rsidP="008013C9">
      <w:pPr>
        <w:spacing w:after="0"/>
        <w:jc w:val="both"/>
        <w:rPr>
          <w:rFonts w:ascii="Times New Roman" w:hAnsi="Times New Roman" w:cs="Times New Roman"/>
        </w:rPr>
      </w:pPr>
    </w:p>
    <w:p w:rsidR="00BF4548" w:rsidRPr="00BF4548" w:rsidRDefault="00BF4548" w:rsidP="008013C9">
      <w:pPr>
        <w:spacing w:after="0"/>
        <w:jc w:val="both"/>
        <w:rPr>
          <w:rFonts w:ascii="Times New Roman" w:hAnsi="Times New Roman" w:cs="Times New Roman"/>
          <w:b/>
          <w:bCs/>
        </w:rPr>
      </w:pPr>
      <w:r w:rsidRPr="00BF4548">
        <w:rPr>
          <w:rFonts w:ascii="Times New Roman" w:hAnsi="Times New Roman" w:cs="Times New Roman"/>
          <w:b/>
          <w:bCs/>
        </w:rPr>
        <w:t>9. CLÁUSULA NONA – DAS OBRIGAÇÕES DO ÓRGÃO GERENCIADOR</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9.1. Exigir o cumprimento de todas as obrigações assumidas pelo Fornecedor, de acordo com a presente ata e seus anexos.</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9.2. Receber o objeto no prazo e condições estabelecidas.</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9.3. Notificar o Fornecedor, por escrito, sobre vícios, defeitos ou incorreções verificadas no objeto fornecido, para que seja por ele substituído, reparado ou corrigido, no total ou em parte, às suas expensas.</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9.4. Acompanhar e fiscalizar a execução da ata e o cumprimento das obrigações pelo Fornecedor.</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 xml:space="preserve">9.5. Comunicar a empresa para emissão de Nota Fiscal no que </w:t>
      </w:r>
      <w:proofErr w:type="spellStart"/>
      <w:r w:rsidRPr="00BF4548">
        <w:rPr>
          <w:rFonts w:ascii="Times New Roman" w:hAnsi="Times New Roman" w:cs="Times New Roman"/>
        </w:rPr>
        <w:t>pertine</w:t>
      </w:r>
      <w:proofErr w:type="spellEnd"/>
      <w:r w:rsidRPr="00BF4548">
        <w:rPr>
          <w:rFonts w:ascii="Times New Roman" w:hAnsi="Times New Roman" w:cs="Times New Roman"/>
        </w:rPr>
        <w:t xml:space="preserve"> à parcela incontroversa da execução do objeto, para efeito de liquidação e pagamento, quando houver controvérsia sobre a execução do objeto, quanto à dimensão, qualidade e quantidade, conforme o art. 143 da Lei nº 14.133, de 2021.</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9.6. Efetuar o pagamento ao Fornecedor do valor correspondente ao fornecimento do objeto, no prazo, forma e condições estabelecidos na presente ata.</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9.7. Aplicar ao Fornecedor as sanções previstas na lei e nesta ata.</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9.8. Explicitamente emitir decisão sobre todas as solicitações e reclamações relacionadas à execução da presente ata, ressalvados os requerimentos manifestamente impertinentes, meramente protelatórios ou de nenhum interesse para a boa execução do ajuste.</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9.8.1. A Administração terá o prazo de 1 (um) mês, a contar da data do protocolo do requerimento para decidir, admitida a prorrogação motivada, por igual período.</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9.9. Responder eventuais pedidos de reestabelecimento do equilíbrio econômico-financeiro feitos pelo Fornecedor no prazo máximo de 1 (um) mês.</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9.10. A Administração não responderá por quaisquer compromissos assumidos pelo Fornecedor com terceiros, ainda que vinculados à execução desta ata, bem como por qualquer dano causado a terceiros em decorrência de ato do Fornecedor, de seus empregados, prepostos ou subordinados.</w:t>
      </w:r>
    </w:p>
    <w:p w:rsidR="00BF4548" w:rsidRPr="00BF4548" w:rsidRDefault="00BF4548" w:rsidP="008013C9">
      <w:pPr>
        <w:spacing w:after="0"/>
        <w:jc w:val="both"/>
        <w:rPr>
          <w:rFonts w:ascii="Times New Roman" w:hAnsi="Times New Roman" w:cs="Times New Roman"/>
          <w:b/>
          <w:bCs/>
        </w:rPr>
      </w:pPr>
    </w:p>
    <w:p w:rsidR="00BF4548" w:rsidRPr="00BF4548" w:rsidRDefault="00BF4548" w:rsidP="008013C9">
      <w:pPr>
        <w:spacing w:after="0"/>
        <w:jc w:val="both"/>
        <w:rPr>
          <w:rFonts w:ascii="Times New Roman" w:hAnsi="Times New Roman" w:cs="Times New Roman"/>
          <w:b/>
          <w:bCs/>
        </w:rPr>
      </w:pPr>
      <w:r w:rsidRPr="00BF4548">
        <w:rPr>
          <w:rFonts w:ascii="Times New Roman" w:hAnsi="Times New Roman" w:cs="Times New Roman"/>
          <w:b/>
          <w:bCs/>
        </w:rPr>
        <w:t>10. CLÁUSULA DÉCIMA – DAS OBRIGAÇÕES DO FORNECEDOR</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10.1. Cumprir todas as obrigações constantes desta ata e em seus anexos, assumindo como exclusivamente seus os riscos e as despesas decorrentes da boa e perfeita execução do objeto, observando, ainda, as obrigações a seguir dispostas:</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10.2. Responsabilizar-se pelos vícios e danos decorrentes do objeto, de acordo com o Código de Defesa do Consumidor (Lei nº 8.078, de 1990).</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10.3. Comunicar ao Município, no prazo máximo de 24 (vinte e quatro) horas que antecede a data da entrega, os motivos que impossibilitem o cumprimento do prazo previsto, com a devida comprovação.</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10.4. Atender às determinações regulares emitidas pelo fiscal ou gestor da ata ou autoridade superior (art. 137, II, da Lei n.º 14.133, de 2021) e prestar todo esclarecimento ou informação por eles solicitados.</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10.5. Reparar, corrigir, remover, reconstruir ou substituir, às suas expensas, no total ou em parte, no prazo fixado pelo fiscal da ata, os bens nos quais se verificarem vícios, defeitos ou incorreções resultantes da execução ou dos materiais empregados.</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10.6. Responsabilizar-se pelos vícios e danos decorrentes da execução do objeto, bem como por todo e qualquer dano causado à Administração ou terceiros, não reduzindo essa responsabilidade a fiscalização ou o acompanhamento da execução contratual pelo Município, que ficará autorizado a descontar dos pagamentos devidos ou da garantia, caso exigida, o valor correspondente aos danos sofridos.</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 xml:space="preserve">10.7. Entregar ao setor responsável pela fiscalização da ata, junto com a Nota Fiscal para fins de pagamento, os seguintes documentos: 1) prova de regularidade relativa à Seguridade Social; 2) certidão conjunta relativa aos tributos federais e à Dívida Ativa da União; 3) certidões que comprovem a regularidade perante a Fazenda Estadual ou Distrital do domicílio ou sede do Fornecedor; 4) Certidão de Regularidade do FGTS </w:t>
      </w:r>
      <w:r w:rsidRPr="00BF4548">
        <w:rPr>
          <w:rFonts w:ascii="Times New Roman" w:hAnsi="Times New Roman" w:cs="Times New Roman" w:hint="eastAsia"/>
        </w:rPr>
        <w:t>–</w:t>
      </w:r>
      <w:r w:rsidRPr="00BF4548">
        <w:rPr>
          <w:rFonts w:ascii="Times New Roman" w:hAnsi="Times New Roman" w:cs="Times New Roman"/>
        </w:rPr>
        <w:t xml:space="preserve"> CRF; e 5) Certidão Negativa de Débitos Trabalhistas </w:t>
      </w:r>
      <w:r w:rsidRPr="00BF4548">
        <w:rPr>
          <w:rFonts w:ascii="Times New Roman" w:hAnsi="Times New Roman" w:cs="Times New Roman" w:hint="eastAsia"/>
        </w:rPr>
        <w:t>–</w:t>
      </w:r>
      <w:r w:rsidRPr="00BF4548">
        <w:rPr>
          <w:rFonts w:ascii="Times New Roman" w:hAnsi="Times New Roman" w:cs="Times New Roman"/>
        </w:rPr>
        <w:t xml:space="preserve"> CNDT.</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10.8. Responsabilizar-se pelo cumprimento de todas as obrigações trabalhistas, previdenciárias, fiscais, comerciais e as demais previstas em legislação específica, cuja inadimplência não transfere a responsabilidade ao Município e não poderá onerar o objeto da ata.</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10.9. Comunicar ao fiscal da ata, no prazo de 24 (vinte e quatro) horas, qualquer ocorrência anormal ou acidente que se verifique no local da execução do objeto contratual.</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10.10. Paralisar, por determinação do Município, qualquer atividade que não esteja sendo executada de acordo com a boa técnica ou que ponha em risco a segurança de pessoas ou bens de terceiros.</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10.11. Manter durante toda a vigência da ata, em compatibilidade com as obrigações assumidas, todas as condições exigidas para habilitação na licitação.</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10.12. Cumprir, durante todo o período de execução da ata, a reserva de cargos prevista em lei para pessoa com deficiência, para reabilitado da Previdência Social ou para aprendiz, bem como as reservas de cargos previstas na legislação.</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10.13. Comprovar a reserva de cargos a que se refere a cláusula acima, no prazo fixado pelo fiscal da Ata, com a indicação dos empregados que preencheram as referidas vagas.</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10.14. Guardar sigilo sobre todas as informações obtidas em decorrência do cumprimento da Ata.</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10.15.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Ata, exceto quando ocorrer algum dos eventos arrolados no art. 124, II, d, da Lei nº 14.133, de 2021.</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10.16. Cumprir, além dos postulados legais vigentes de âmbito federal, estadual ou municipal, as normas de segurança do Município.</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10.17. Cumprir integralmente, no que couber, as legislações atinentes ao ramo de atividade por ela desenvolvida, todas as normas, métodos e especificações da ABNT (Associação Brasileira de Normas Técnicas) e da ANVISA (Agência Nacional de Vigilância Sanitária).</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10.18. O Fornecedor informará na nota fiscal emitida, quando for o caso, o valor a ser retido a título de INSS, a base de cálculo, bem como a alíquota aplicada a esta base de cálculo.</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10.19. O Fornecedor que fizer utilização do Regime Especial de Reintegração de Valores Tributários instituído pela Lei Federal Nº 12.546/2011, destacará na nota fiscal emitida, a alíquota, a base de cálculo e o valor a ser retido a título de INSS.</w:t>
      </w:r>
    </w:p>
    <w:p w:rsidR="00BF4548" w:rsidRPr="00BF4548" w:rsidRDefault="00BF4548" w:rsidP="008013C9">
      <w:pPr>
        <w:spacing w:after="0"/>
        <w:jc w:val="both"/>
        <w:rPr>
          <w:rFonts w:ascii="Times New Roman" w:hAnsi="Times New Roman" w:cs="Times New Roman"/>
        </w:rPr>
      </w:pPr>
    </w:p>
    <w:p w:rsidR="00BF4548" w:rsidRPr="00BF4548" w:rsidRDefault="00BF4548" w:rsidP="008013C9">
      <w:pPr>
        <w:spacing w:after="0"/>
        <w:jc w:val="both"/>
        <w:rPr>
          <w:rFonts w:ascii="Times New Roman" w:hAnsi="Times New Roman" w:cs="Times New Roman"/>
          <w:b/>
          <w:bCs/>
        </w:rPr>
      </w:pPr>
      <w:r w:rsidRPr="00BF4548">
        <w:rPr>
          <w:rFonts w:ascii="Times New Roman" w:hAnsi="Times New Roman" w:cs="Times New Roman"/>
          <w:b/>
          <w:bCs/>
        </w:rPr>
        <w:t>11. CLÁUSULA DÉCIMA PRIMEIRA – DAS OBRIGAÇÕES PERTINENTES À LGPD</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11.1. As Partes declaram estar cientes do inteiro teor da Lei n.º 13.709/2018 (“Lei Geral de Proteção de Dados” ou “LGPD”) e obrigam-se a observar e respeitar o dever de proteção de Dados Pessoais, inclusive nos meios digitais, no que diz respeito ao adequado Tratamento de tais dados, devendo ainda, se comprometer a cumprir todas as condições e obrigações dispostas na referida LGPD e demais leis aplicáveis.</w:t>
      </w:r>
    </w:p>
    <w:p w:rsidR="00BF4548" w:rsidRPr="00BF4548" w:rsidRDefault="00BF4548" w:rsidP="008013C9">
      <w:pPr>
        <w:spacing w:after="0"/>
        <w:jc w:val="both"/>
        <w:rPr>
          <w:rFonts w:ascii="Times New Roman" w:hAnsi="Times New Roman" w:cs="Times New Roman"/>
          <w:b/>
          <w:bCs/>
        </w:rPr>
      </w:pPr>
    </w:p>
    <w:p w:rsidR="00BF4548" w:rsidRPr="00BF4548" w:rsidRDefault="00BF4548" w:rsidP="008013C9">
      <w:pPr>
        <w:spacing w:after="0"/>
        <w:jc w:val="both"/>
        <w:rPr>
          <w:rFonts w:ascii="Times New Roman" w:hAnsi="Times New Roman" w:cs="Times New Roman"/>
          <w:b/>
          <w:bCs/>
        </w:rPr>
      </w:pPr>
      <w:r w:rsidRPr="00BF4548">
        <w:rPr>
          <w:rFonts w:ascii="Times New Roman" w:hAnsi="Times New Roman" w:cs="Times New Roman"/>
          <w:b/>
          <w:bCs/>
        </w:rPr>
        <w:t>12. CLÁUSULA DÉCIMA SEGUNDA – DAS DISPOSIÇÕES FINAIS</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12.1. Vinculam esta ata, independentemente de transcrição:</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12.1.1. O Termo de Referência;</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12.1.2. O Edital da Licitação;</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12.1.3. A Proposta do Fornecedor;</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12.1.4. Eventuais anexos dos documentos supracitados.</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 xml:space="preserve">12.2. Os casos omissos serão decididos pelo Órgão Gerenciador, segundo as disposições contidas na Lei nº 14.133, de 2021, e demais normas aplicáveis e, subsidiariamente, segundo as disposições contidas na Lei nº 8.078, de 1990 </w:t>
      </w:r>
      <w:r w:rsidRPr="00BF4548">
        <w:rPr>
          <w:rFonts w:ascii="Times New Roman" w:hAnsi="Times New Roman" w:cs="Times New Roman" w:hint="eastAsia"/>
        </w:rPr>
        <w:t>–</w:t>
      </w:r>
      <w:r w:rsidRPr="00BF4548">
        <w:rPr>
          <w:rFonts w:ascii="Times New Roman" w:hAnsi="Times New Roman" w:cs="Times New Roman"/>
        </w:rPr>
        <w:t xml:space="preserve"> Código de Defesa do Consumidor </w:t>
      </w:r>
      <w:r w:rsidRPr="00BF4548">
        <w:rPr>
          <w:rFonts w:ascii="Times New Roman" w:hAnsi="Times New Roman" w:cs="Times New Roman" w:hint="eastAsia"/>
        </w:rPr>
        <w:t>–</w:t>
      </w:r>
      <w:r w:rsidRPr="00BF4548">
        <w:rPr>
          <w:rFonts w:ascii="Times New Roman" w:hAnsi="Times New Roman" w:cs="Times New Roman"/>
        </w:rPr>
        <w:t xml:space="preserve"> e normas e princípios gerais dos contratos.</w:t>
      </w:r>
    </w:p>
    <w:p w:rsidR="00BF4548" w:rsidRPr="00BF4548" w:rsidRDefault="00BF4548" w:rsidP="008013C9">
      <w:pPr>
        <w:spacing w:after="0"/>
        <w:jc w:val="both"/>
        <w:rPr>
          <w:rFonts w:ascii="Times New Roman" w:hAnsi="Times New Roman" w:cs="Times New Roman"/>
        </w:rPr>
      </w:pPr>
      <w:r w:rsidRPr="00BF4548">
        <w:rPr>
          <w:rFonts w:ascii="Times New Roman" w:hAnsi="Times New Roman" w:cs="Times New Roman"/>
        </w:rPr>
        <w:t>12.3. Fica eleito o Foro da Comarca de Rio do Sul/SC para dirimir os litígios que decorrerem</w:t>
      </w:r>
    </w:p>
    <w:p w:rsidR="00BF4548" w:rsidRPr="00BF4548" w:rsidRDefault="00BF4548" w:rsidP="008013C9">
      <w:pPr>
        <w:spacing w:after="0"/>
        <w:jc w:val="both"/>
        <w:rPr>
          <w:rFonts w:ascii="Times New Roman" w:hAnsi="Times New Roman" w:cs="Times New Roman"/>
        </w:rPr>
      </w:pPr>
      <w:proofErr w:type="gramStart"/>
      <w:r w:rsidRPr="00BF4548">
        <w:rPr>
          <w:rFonts w:ascii="Times New Roman" w:hAnsi="Times New Roman" w:cs="Times New Roman"/>
        </w:rPr>
        <w:t>da</w:t>
      </w:r>
      <w:proofErr w:type="gramEnd"/>
      <w:r w:rsidRPr="00BF4548">
        <w:rPr>
          <w:rFonts w:ascii="Times New Roman" w:hAnsi="Times New Roman" w:cs="Times New Roman"/>
        </w:rPr>
        <w:t xml:space="preserve"> execução desta ata que não puderem ser compostos pela conciliação, conforme art. 92, §1º,</w:t>
      </w:r>
    </w:p>
    <w:p w:rsidR="00BF4548" w:rsidRPr="00BF4548" w:rsidRDefault="00BF4548" w:rsidP="008013C9">
      <w:pPr>
        <w:spacing w:after="0"/>
        <w:jc w:val="both"/>
        <w:rPr>
          <w:rFonts w:ascii="Times New Roman" w:hAnsi="Times New Roman" w:cs="Times New Roman"/>
        </w:rPr>
      </w:pPr>
      <w:proofErr w:type="gramStart"/>
      <w:r w:rsidRPr="00BF4548">
        <w:rPr>
          <w:rFonts w:ascii="Times New Roman" w:hAnsi="Times New Roman" w:cs="Times New Roman"/>
        </w:rPr>
        <w:t>da</w:t>
      </w:r>
      <w:proofErr w:type="gramEnd"/>
      <w:r w:rsidRPr="00BF4548">
        <w:rPr>
          <w:rFonts w:ascii="Times New Roman" w:hAnsi="Times New Roman" w:cs="Times New Roman"/>
        </w:rPr>
        <w:t xml:space="preserve"> Lei nº 14.133/21.</w:t>
      </w:r>
    </w:p>
    <w:p w:rsidR="00BF4548" w:rsidRPr="00BF4548" w:rsidRDefault="00BF4548" w:rsidP="008013C9">
      <w:pPr>
        <w:spacing w:after="0"/>
        <w:jc w:val="both"/>
        <w:rPr>
          <w:rFonts w:ascii="Times New Roman" w:hAnsi="Times New Roman" w:cs="Times New Roman"/>
        </w:rPr>
      </w:pPr>
    </w:p>
    <w:p w:rsidR="008013C9" w:rsidRDefault="008013C9" w:rsidP="00AA467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t>Agronômica-Santa Catarina, 12 de agosto de 2026.</w:t>
      </w:r>
    </w:p>
    <w:tbl>
      <w:tblPr>
        <w:tblW w:w="0" w:type="auto"/>
        <w:tblLook w:val="04A0" w:firstRow="1" w:lastRow="0" w:firstColumn="1" w:lastColumn="0" w:noHBand="0" w:noVBand="1"/>
      </w:tblPr>
      <w:tblGrid>
        <w:gridCol w:w="4361"/>
        <w:gridCol w:w="4426"/>
      </w:tblGrid>
      <w:tr w:rsidR="00AA4671" w:rsidTr="00AA4671">
        <w:tc>
          <w:tcPr>
            <w:tcW w:w="4361" w:type="dxa"/>
            <w:tcBorders>
              <w:top w:val="single" w:sz="4" w:space="0" w:color="auto"/>
              <w:left w:val="single" w:sz="4" w:space="0" w:color="auto"/>
              <w:bottom w:val="single" w:sz="4" w:space="0" w:color="auto"/>
              <w:right w:val="single" w:sz="4" w:space="0" w:color="auto"/>
            </w:tcBorders>
          </w:tcPr>
          <w:p w:rsidR="00AA4671" w:rsidRDefault="00AA4671" w:rsidP="00FC23A7">
            <w:pPr>
              <w:spacing w:after="0"/>
            </w:pPr>
            <w:r>
              <w:rPr>
                <w:b/>
              </w:rPr>
              <w:t>REPRESENTANTE(S) DA(S) EMPRESA(S)</w:t>
            </w:r>
          </w:p>
        </w:tc>
        <w:tc>
          <w:tcPr>
            <w:tcW w:w="4426" w:type="dxa"/>
            <w:tcBorders>
              <w:top w:val="single" w:sz="4" w:space="0" w:color="auto"/>
              <w:left w:val="single" w:sz="4" w:space="0" w:color="auto"/>
              <w:bottom w:val="single" w:sz="4" w:space="0" w:color="auto"/>
              <w:right w:val="single" w:sz="4" w:space="0" w:color="auto"/>
            </w:tcBorders>
          </w:tcPr>
          <w:p w:rsidR="00AA4671" w:rsidRDefault="00AA4671" w:rsidP="00FC23A7">
            <w:pPr>
              <w:spacing w:after="0"/>
            </w:pPr>
            <w:r>
              <w:rPr>
                <w:b/>
              </w:rPr>
              <w:t xml:space="preserve">REPRESENTANTE DA CÂMARA </w:t>
            </w:r>
          </w:p>
        </w:tc>
      </w:tr>
      <w:tr w:rsidR="00AA4671" w:rsidTr="00AA4671">
        <w:tc>
          <w:tcPr>
            <w:tcW w:w="4361" w:type="dxa"/>
            <w:tcBorders>
              <w:top w:val="single" w:sz="4" w:space="0" w:color="auto"/>
              <w:left w:val="single" w:sz="4" w:space="0" w:color="auto"/>
              <w:bottom w:val="single" w:sz="4" w:space="0" w:color="auto"/>
              <w:right w:val="single" w:sz="4" w:space="0" w:color="auto"/>
            </w:tcBorders>
          </w:tcPr>
          <w:p w:rsidR="00AA4671" w:rsidRDefault="00AA4671" w:rsidP="00FC23A7">
            <w:pPr>
              <w:spacing w:after="0" w:line="0" w:lineRule="atLeast"/>
              <w:jc w:val="center"/>
              <w:rPr>
                <w:sz w:val="16"/>
              </w:rPr>
            </w:pPr>
          </w:p>
          <w:p w:rsidR="00AA4671" w:rsidRDefault="00AA4671" w:rsidP="00FC23A7">
            <w:pPr>
              <w:spacing w:after="0" w:line="0" w:lineRule="atLeast"/>
              <w:jc w:val="center"/>
              <w:rPr>
                <w:sz w:val="16"/>
              </w:rPr>
            </w:pPr>
          </w:p>
          <w:p w:rsidR="00AA4671" w:rsidRDefault="00AA4671" w:rsidP="00FC23A7">
            <w:pPr>
              <w:spacing w:after="0" w:line="0" w:lineRule="atLeast"/>
              <w:jc w:val="center"/>
              <w:rPr>
                <w:sz w:val="16"/>
              </w:rPr>
            </w:pPr>
          </w:p>
          <w:p w:rsidR="00AA4671" w:rsidRDefault="00AA4671" w:rsidP="00FC23A7">
            <w:pPr>
              <w:spacing w:after="0" w:line="0" w:lineRule="atLeast"/>
              <w:jc w:val="center"/>
              <w:rPr>
                <w:sz w:val="16"/>
              </w:rPr>
            </w:pPr>
          </w:p>
          <w:p w:rsidR="00AA4671" w:rsidRDefault="00AA4671" w:rsidP="00FC23A7">
            <w:pPr>
              <w:spacing w:after="0" w:line="0" w:lineRule="atLeast"/>
              <w:jc w:val="center"/>
              <w:rPr>
                <w:sz w:val="16"/>
              </w:rPr>
            </w:pPr>
          </w:p>
          <w:p w:rsidR="00AA4671" w:rsidRDefault="00AA4671" w:rsidP="00FC23A7">
            <w:pPr>
              <w:spacing w:after="0" w:line="0" w:lineRule="atLeast"/>
              <w:jc w:val="center"/>
              <w:rPr>
                <w:sz w:val="16"/>
              </w:rPr>
            </w:pPr>
          </w:p>
          <w:p w:rsidR="00AA4671" w:rsidRDefault="00AA4671" w:rsidP="00FC23A7">
            <w:pPr>
              <w:spacing w:after="0" w:line="0" w:lineRule="atLeast"/>
              <w:jc w:val="center"/>
              <w:rPr>
                <w:sz w:val="16"/>
              </w:rPr>
            </w:pPr>
          </w:p>
          <w:p w:rsidR="00AA4671" w:rsidRDefault="00AA4671" w:rsidP="00FC23A7">
            <w:pPr>
              <w:spacing w:after="0" w:line="0" w:lineRule="atLeast"/>
              <w:jc w:val="center"/>
              <w:rPr>
                <w:sz w:val="16"/>
              </w:rPr>
            </w:pPr>
            <w:r>
              <w:rPr>
                <w:sz w:val="16"/>
              </w:rPr>
              <w:br/>
              <w:t>_____________________________________</w:t>
            </w:r>
            <w:r>
              <w:rPr>
                <w:sz w:val="16"/>
              </w:rPr>
              <w:br/>
            </w:r>
            <w:r w:rsidRPr="00AA4671">
              <w:rPr>
                <w:sz w:val="16"/>
              </w:rPr>
              <w:t>MERCADO KE</w:t>
            </w:r>
            <w:r>
              <w:rPr>
                <w:sz w:val="16"/>
              </w:rPr>
              <w:t xml:space="preserve">STRING LTDA </w:t>
            </w:r>
            <w:r>
              <w:rPr>
                <w:sz w:val="16"/>
              </w:rPr>
              <w:br/>
            </w:r>
          </w:p>
          <w:p w:rsidR="00AA4671" w:rsidRDefault="00AA4671" w:rsidP="00FC23A7">
            <w:pPr>
              <w:spacing w:after="0" w:line="0" w:lineRule="atLeast"/>
              <w:jc w:val="center"/>
              <w:rPr>
                <w:sz w:val="16"/>
              </w:rPr>
            </w:pPr>
          </w:p>
          <w:p w:rsidR="00AA4671" w:rsidRDefault="00AA4671" w:rsidP="00FC23A7">
            <w:pPr>
              <w:spacing w:after="0" w:line="0" w:lineRule="atLeast"/>
              <w:jc w:val="center"/>
              <w:rPr>
                <w:sz w:val="16"/>
              </w:rPr>
            </w:pPr>
          </w:p>
          <w:p w:rsidR="00AA4671" w:rsidRDefault="00AA4671" w:rsidP="00FC23A7">
            <w:pPr>
              <w:spacing w:after="0" w:line="0" w:lineRule="atLeast"/>
              <w:jc w:val="center"/>
              <w:rPr>
                <w:sz w:val="16"/>
              </w:rPr>
            </w:pPr>
          </w:p>
          <w:p w:rsidR="00AA4671" w:rsidRPr="00E65A7E" w:rsidRDefault="00AA4671" w:rsidP="00FC23A7">
            <w:pPr>
              <w:spacing w:after="0" w:line="0" w:lineRule="atLeast"/>
              <w:jc w:val="center"/>
              <w:rPr>
                <w:sz w:val="16"/>
              </w:rPr>
            </w:pPr>
            <w:r>
              <w:rPr>
                <w:sz w:val="16"/>
              </w:rPr>
              <w:br/>
            </w:r>
            <w:r>
              <w:rPr>
                <w:sz w:val="16"/>
              </w:rPr>
              <w:br/>
            </w:r>
            <w:r>
              <w:rPr>
                <w:sz w:val="16"/>
              </w:rPr>
              <w:br/>
            </w:r>
            <w:r>
              <w:rPr>
                <w:sz w:val="16"/>
              </w:rPr>
              <w:br/>
            </w:r>
          </w:p>
        </w:tc>
        <w:tc>
          <w:tcPr>
            <w:tcW w:w="4426" w:type="dxa"/>
            <w:tcBorders>
              <w:top w:val="single" w:sz="4" w:space="0" w:color="auto"/>
              <w:left w:val="single" w:sz="4" w:space="0" w:color="auto"/>
              <w:bottom w:val="single" w:sz="4" w:space="0" w:color="auto"/>
              <w:right w:val="single" w:sz="4" w:space="0" w:color="auto"/>
            </w:tcBorders>
          </w:tcPr>
          <w:p w:rsidR="00AA4671" w:rsidRDefault="00AA4671" w:rsidP="00FC23A7">
            <w:pPr>
              <w:spacing w:after="0" w:line="0" w:lineRule="atLeast"/>
              <w:jc w:val="center"/>
              <w:rPr>
                <w:sz w:val="16"/>
              </w:rPr>
            </w:pPr>
          </w:p>
          <w:p w:rsidR="00AA4671" w:rsidRDefault="00AA4671" w:rsidP="00FC23A7">
            <w:pPr>
              <w:spacing w:after="0" w:line="0" w:lineRule="atLeast"/>
              <w:jc w:val="center"/>
              <w:rPr>
                <w:sz w:val="16"/>
              </w:rPr>
            </w:pPr>
          </w:p>
          <w:p w:rsidR="00AA4671" w:rsidRDefault="00AA4671" w:rsidP="00FC23A7">
            <w:pPr>
              <w:spacing w:after="0" w:line="0" w:lineRule="atLeast"/>
              <w:jc w:val="center"/>
              <w:rPr>
                <w:sz w:val="16"/>
              </w:rPr>
            </w:pPr>
          </w:p>
          <w:p w:rsidR="00AA4671" w:rsidRDefault="00AA4671" w:rsidP="00FC23A7">
            <w:pPr>
              <w:spacing w:after="0" w:line="0" w:lineRule="atLeast"/>
              <w:jc w:val="center"/>
              <w:rPr>
                <w:sz w:val="16"/>
              </w:rPr>
            </w:pPr>
          </w:p>
          <w:p w:rsidR="00AA4671" w:rsidRDefault="00AA4671" w:rsidP="00FC23A7">
            <w:pPr>
              <w:spacing w:after="0" w:line="0" w:lineRule="atLeast"/>
              <w:jc w:val="center"/>
              <w:rPr>
                <w:sz w:val="16"/>
              </w:rPr>
            </w:pPr>
          </w:p>
          <w:p w:rsidR="00AA4671" w:rsidRDefault="00AA4671" w:rsidP="00FC23A7">
            <w:pPr>
              <w:spacing w:after="0" w:line="0" w:lineRule="atLeast"/>
              <w:jc w:val="center"/>
              <w:rPr>
                <w:sz w:val="16"/>
              </w:rPr>
            </w:pPr>
          </w:p>
          <w:p w:rsidR="00AA4671" w:rsidRDefault="00AA4671" w:rsidP="00FC23A7">
            <w:pPr>
              <w:spacing w:after="0" w:line="0" w:lineRule="atLeast"/>
              <w:jc w:val="center"/>
              <w:rPr>
                <w:sz w:val="16"/>
              </w:rPr>
            </w:pPr>
          </w:p>
          <w:p w:rsidR="00AA4671" w:rsidRDefault="00AA4671" w:rsidP="00FC23A7">
            <w:pPr>
              <w:spacing w:after="0" w:line="0" w:lineRule="atLeast"/>
              <w:jc w:val="center"/>
              <w:rPr>
                <w:sz w:val="16"/>
              </w:rPr>
            </w:pPr>
            <w:r>
              <w:rPr>
                <w:sz w:val="16"/>
              </w:rPr>
              <w:br/>
              <w:t>_____________________________________</w:t>
            </w:r>
            <w:r>
              <w:rPr>
                <w:sz w:val="16"/>
              </w:rPr>
              <w:br/>
            </w:r>
            <w:r>
              <w:rPr>
                <w:sz w:val="16"/>
              </w:rPr>
              <w:t xml:space="preserve">EDINALDO FERNANDES </w:t>
            </w:r>
            <w:r>
              <w:rPr>
                <w:sz w:val="16"/>
              </w:rPr>
              <w:br/>
            </w:r>
          </w:p>
          <w:p w:rsidR="00AA4671" w:rsidRDefault="00AA4671" w:rsidP="00FC23A7">
            <w:pPr>
              <w:spacing w:after="0" w:line="0" w:lineRule="atLeast"/>
              <w:jc w:val="center"/>
              <w:rPr>
                <w:sz w:val="16"/>
              </w:rPr>
            </w:pPr>
          </w:p>
          <w:p w:rsidR="00AA4671" w:rsidRDefault="00AA4671" w:rsidP="00AA4671">
            <w:pPr>
              <w:spacing w:after="0" w:line="0" w:lineRule="atLeast"/>
            </w:pPr>
          </w:p>
        </w:tc>
      </w:tr>
    </w:tbl>
    <w:p w:rsidR="00BF4548" w:rsidRPr="00BF4548" w:rsidRDefault="00BF4548" w:rsidP="008013C9">
      <w:pPr>
        <w:spacing w:after="0"/>
        <w:jc w:val="both"/>
        <w:rPr>
          <w:rFonts w:ascii="Times New Roman" w:hAnsi="Times New Roman"/>
          <w:b/>
        </w:rPr>
      </w:pPr>
    </w:p>
    <w:p w:rsidR="00BF4548" w:rsidRDefault="00BF4548" w:rsidP="008013C9"/>
    <w:sectPr w:rsidR="00BF4548" w:rsidSect="008013C9">
      <w:headerReference w:type="default" r:id="rId8"/>
      <w:pgSz w:w="11906" w:h="16838"/>
      <w:pgMar w:top="1417" w:right="141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FF3" w:rsidRDefault="003E6FF3" w:rsidP="00BF4548">
      <w:pPr>
        <w:spacing w:after="0" w:line="240" w:lineRule="auto"/>
      </w:pPr>
      <w:r>
        <w:separator/>
      </w:r>
    </w:p>
  </w:endnote>
  <w:endnote w:type="continuationSeparator" w:id="0">
    <w:p w:rsidR="003E6FF3" w:rsidRDefault="003E6FF3" w:rsidP="00BF4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erif">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FF3" w:rsidRDefault="003E6FF3" w:rsidP="00BF4548">
      <w:pPr>
        <w:spacing w:after="0" w:line="240" w:lineRule="auto"/>
      </w:pPr>
      <w:r>
        <w:separator/>
      </w:r>
    </w:p>
  </w:footnote>
  <w:footnote w:type="continuationSeparator" w:id="0">
    <w:p w:rsidR="003E6FF3" w:rsidRDefault="003E6FF3" w:rsidP="00BF45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402" w:type="dxa"/>
      <w:tblInd w:w="-1141" w:type="dxa"/>
      <w:tblLayout w:type="fixed"/>
      <w:tblCellMar>
        <w:top w:w="55" w:type="dxa"/>
        <w:left w:w="55" w:type="dxa"/>
        <w:bottom w:w="55" w:type="dxa"/>
        <w:right w:w="55" w:type="dxa"/>
      </w:tblCellMar>
      <w:tblLook w:val="0000" w:firstRow="0" w:lastRow="0" w:firstColumn="0" w:lastColumn="0" w:noHBand="0" w:noVBand="0"/>
    </w:tblPr>
    <w:tblGrid>
      <w:gridCol w:w="1710"/>
      <w:gridCol w:w="7915"/>
      <w:gridCol w:w="1777"/>
    </w:tblGrid>
    <w:tr w:rsidR="002C7D47" w:rsidTr="002C7D47">
      <w:tc>
        <w:tcPr>
          <w:tcW w:w="1710" w:type="dxa"/>
          <w:shd w:val="clear" w:color="auto" w:fill="auto"/>
        </w:tcPr>
        <w:p w:rsidR="002C7D47" w:rsidRDefault="002C7D47" w:rsidP="002C7D47">
          <w:pPr>
            <w:pStyle w:val="Contedodatabela"/>
            <w:rPr>
              <w:rFonts w:ascii="Times New Roman" w:hAnsi="Times New Roman"/>
            </w:rPr>
          </w:pPr>
          <w:r>
            <w:rPr>
              <w:rFonts w:ascii="Times New Roman" w:hAnsi="Times New Roman"/>
              <w:noProof/>
              <w:lang w:eastAsia="pt-BR" w:bidi="ar-SA"/>
            </w:rPr>
            <w:drawing>
              <wp:anchor distT="0" distB="0" distL="0" distR="0" simplePos="0" relativeHeight="251656704" behindDoc="1" locked="0" layoutInCell="1" allowOverlap="1" wp14:anchorId="45755719" wp14:editId="419B2456">
                <wp:simplePos x="0" y="0"/>
                <wp:positionH relativeFrom="column">
                  <wp:align>center</wp:align>
                </wp:positionH>
                <wp:positionV relativeFrom="paragraph">
                  <wp:posOffset>635</wp:posOffset>
                </wp:positionV>
                <wp:extent cx="1016000" cy="1170305"/>
                <wp:effectExtent l="0" t="0" r="0" b="0"/>
                <wp:wrapSquare wrapText="largest"/>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1"/>
                        <a:stretch>
                          <a:fillRect/>
                        </a:stretch>
                      </pic:blipFill>
                      <pic:spPr bwMode="auto">
                        <a:xfrm>
                          <a:off x="0" y="0"/>
                          <a:ext cx="1016000" cy="1170305"/>
                        </a:xfrm>
                        <a:prstGeom prst="rect">
                          <a:avLst/>
                        </a:prstGeom>
                      </pic:spPr>
                    </pic:pic>
                  </a:graphicData>
                </a:graphic>
              </wp:anchor>
            </w:drawing>
          </w:r>
        </w:p>
      </w:tc>
      <w:tc>
        <w:tcPr>
          <w:tcW w:w="7915" w:type="dxa"/>
          <w:shd w:val="clear" w:color="auto" w:fill="auto"/>
        </w:tcPr>
        <w:p w:rsidR="002C7D47" w:rsidRDefault="002C7D47" w:rsidP="002C7D47">
          <w:pPr>
            <w:rPr>
              <w:rFonts w:hint="eastAsia"/>
              <w:b/>
              <w:bCs/>
              <w:sz w:val="28"/>
              <w:szCs w:val="28"/>
            </w:rPr>
          </w:pPr>
          <w:r>
            <w:rPr>
              <w:rFonts w:ascii="Times New Roman" w:hAnsi="Times New Roman"/>
              <w:b/>
              <w:bCs/>
              <w:sz w:val="32"/>
              <w:szCs w:val="32"/>
            </w:rPr>
            <w:t>Câmara de Vereadores de Agronômica</w:t>
          </w:r>
        </w:p>
        <w:p w:rsidR="002C7D47" w:rsidRDefault="002C7D47" w:rsidP="002C7D47">
          <w:pPr>
            <w:tabs>
              <w:tab w:val="left" w:pos="3969"/>
            </w:tabs>
            <w:rPr>
              <w:rFonts w:hint="eastAsia"/>
              <w:sz w:val="20"/>
              <w:szCs w:val="20"/>
            </w:rPr>
          </w:pPr>
          <w:r>
            <w:rPr>
              <w:rFonts w:ascii="Times New Roman" w:hAnsi="Times New Roman"/>
            </w:rPr>
            <w:t>Rua Leopoldo da Cunha, 435 - Centro - 89.188-000 - Agronômica - Santa Catarina</w:t>
          </w:r>
        </w:p>
        <w:p w:rsidR="002C7D47" w:rsidRDefault="002C7D47" w:rsidP="002C7D47">
          <w:pPr>
            <w:tabs>
              <w:tab w:val="left" w:pos="3969"/>
            </w:tabs>
            <w:rPr>
              <w:rFonts w:hint="eastAsia"/>
              <w:sz w:val="20"/>
              <w:szCs w:val="20"/>
            </w:rPr>
          </w:pPr>
          <w:r>
            <w:rPr>
              <w:rFonts w:ascii="Times New Roman" w:hAnsi="Times New Roman"/>
            </w:rPr>
            <w:t>81.161.838/0001-69&lt;SEM_VALOR&gt;</w:t>
          </w:r>
        </w:p>
        <w:p w:rsidR="002C7D47" w:rsidRDefault="002C7D47" w:rsidP="002C7D47">
          <w:pPr>
            <w:tabs>
              <w:tab w:val="left" w:pos="3969"/>
            </w:tabs>
            <w:rPr>
              <w:rFonts w:hint="eastAsia"/>
              <w:sz w:val="20"/>
              <w:szCs w:val="20"/>
            </w:rPr>
          </w:pPr>
          <w:r>
            <w:rPr>
              <w:rFonts w:ascii="Times New Roman" w:hAnsi="Times New Roman"/>
            </w:rPr>
            <w:t>contabilidade@cva.sc.gov.br&lt;SEM_VALOR&gt;</w:t>
          </w:r>
        </w:p>
      </w:tc>
      <w:tc>
        <w:tcPr>
          <w:tcW w:w="1777" w:type="dxa"/>
          <w:shd w:val="clear" w:color="auto" w:fill="auto"/>
        </w:tcPr>
        <w:p w:rsidR="002C7D47" w:rsidRDefault="002C7D47" w:rsidP="002C7D47">
          <w:pPr>
            <w:pStyle w:val="Contedodatabela"/>
            <w:rPr>
              <w:rFonts w:ascii="Times New Roman" w:hAnsi="Times New Roman"/>
            </w:rPr>
          </w:pPr>
          <w:r>
            <w:rPr>
              <w:rFonts w:ascii="Times New Roman" w:hAnsi="Times New Roman"/>
              <w:noProof/>
              <w:lang w:eastAsia="pt-BR" w:bidi="ar-SA"/>
            </w:rPr>
            <w:drawing>
              <wp:anchor distT="0" distB="0" distL="0" distR="0" simplePos="0" relativeHeight="251660800" behindDoc="1" locked="0" layoutInCell="1" allowOverlap="1" wp14:anchorId="77CDD14E" wp14:editId="2DE383EA">
                <wp:simplePos x="0" y="0"/>
                <wp:positionH relativeFrom="column">
                  <wp:align>center</wp:align>
                </wp:positionH>
                <wp:positionV relativeFrom="paragraph">
                  <wp:posOffset>635</wp:posOffset>
                </wp:positionV>
                <wp:extent cx="1018540" cy="685165"/>
                <wp:effectExtent l="0" t="0" r="0" b="0"/>
                <wp:wrapSquare wrapText="largest"/>
                <wp:docPr id="2"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2"/>
                        <pic:cNvPicPr>
                          <a:picLocks noChangeAspect="1" noChangeArrowheads="1"/>
                        </pic:cNvPicPr>
                      </pic:nvPicPr>
                      <pic:blipFill>
                        <a:blip r:embed="rId2"/>
                        <a:stretch>
                          <a:fillRect/>
                        </a:stretch>
                      </pic:blipFill>
                      <pic:spPr bwMode="auto">
                        <a:xfrm>
                          <a:off x="0" y="0"/>
                          <a:ext cx="1018540" cy="685165"/>
                        </a:xfrm>
                        <a:prstGeom prst="rect">
                          <a:avLst/>
                        </a:prstGeom>
                      </pic:spPr>
                    </pic:pic>
                  </a:graphicData>
                </a:graphic>
              </wp:anchor>
            </w:drawing>
          </w:r>
        </w:p>
      </w:tc>
    </w:tr>
  </w:tbl>
  <w:p w:rsidR="00BF4548" w:rsidRDefault="00BF454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D815AD"/>
    <w:rsid w:val="000054A3"/>
    <w:rsid w:val="000B5861"/>
    <w:rsid w:val="000C434B"/>
    <w:rsid w:val="002647C3"/>
    <w:rsid w:val="002C7D47"/>
    <w:rsid w:val="002E6205"/>
    <w:rsid w:val="0035322B"/>
    <w:rsid w:val="003E6FF3"/>
    <w:rsid w:val="004E5201"/>
    <w:rsid w:val="007D138B"/>
    <w:rsid w:val="008013C9"/>
    <w:rsid w:val="00844D1E"/>
    <w:rsid w:val="008C0D4F"/>
    <w:rsid w:val="009C1DF5"/>
    <w:rsid w:val="00A33F38"/>
    <w:rsid w:val="00AA4671"/>
    <w:rsid w:val="00AA69C6"/>
    <w:rsid w:val="00BC6DC4"/>
    <w:rsid w:val="00BF4548"/>
    <w:rsid w:val="00C4633A"/>
    <w:rsid w:val="00C73AC6"/>
    <w:rsid w:val="00CF7151"/>
    <w:rsid w:val="00D815AD"/>
    <w:rsid w:val="00DD31D1"/>
    <w:rsid w:val="00EC5FDD"/>
    <w:rsid w:val="00F503C6"/>
    <w:rsid w:val="00F645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1EAD4E"/>
  <w15:docId w15:val="{CCEAA4EE-E36B-488F-BEAE-486F49617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47C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F454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F4548"/>
  </w:style>
  <w:style w:type="paragraph" w:styleId="Rodap">
    <w:name w:val="footer"/>
    <w:basedOn w:val="Normal"/>
    <w:link w:val="RodapChar"/>
    <w:uiPriority w:val="99"/>
    <w:unhideWhenUsed/>
    <w:rsid w:val="00BF4548"/>
    <w:pPr>
      <w:tabs>
        <w:tab w:val="center" w:pos="4252"/>
        <w:tab w:val="right" w:pos="8504"/>
      </w:tabs>
      <w:spacing w:after="0" w:line="240" w:lineRule="auto"/>
    </w:pPr>
  </w:style>
  <w:style w:type="character" w:customStyle="1" w:styleId="RodapChar">
    <w:name w:val="Rodapé Char"/>
    <w:basedOn w:val="Fontepargpadro"/>
    <w:link w:val="Rodap"/>
    <w:uiPriority w:val="99"/>
    <w:rsid w:val="00BF4548"/>
  </w:style>
  <w:style w:type="character" w:customStyle="1" w:styleId="TtuloChar">
    <w:name w:val="Título Char"/>
    <w:basedOn w:val="Fontepargpadro"/>
    <w:link w:val="Ttulo"/>
    <w:qFormat/>
    <w:rsid w:val="00BF4548"/>
    <w:rPr>
      <w:rFonts w:asciiTheme="majorHAnsi" w:eastAsiaTheme="majorEastAsia" w:hAnsiTheme="majorHAnsi" w:cs="Mangal"/>
      <w:color w:val="17365D" w:themeColor="text2" w:themeShade="BF"/>
      <w:spacing w:val="5"/>
      <w:sz w:val="52"/>
      <w:szCs w:val="47"/>
      <w:lang w:eastAsia="zh-CN" w:bidi="hi-IN"/>
    </w:rPr>
  </w:style>
  <w:style w:type="paragraph" w:styleId="Ttulo">
    <w:name w:val="Title"/>
    <w:basedOn w:val="Normal"/>
    <w:next w:val="Corpodetexto"/>
    <w:link w:val="TtuloChar"/>
    <w:qFormat/>
    <w:rsid w:val="00BF4548"/>
    <w:pPr>
      <w:widowControl w:val="0"/>
      <w:pBdr>
        <w:bottom w:val="single" w:sz="8" w:space="4" w:color="4F81BD"/>
      </w:pBdr>
      <w:suppressAutoHyphens/>
      <w:spacing w:after="300" w:line="240" w:lineRule="auto"/>
      <w:contextualSpacing/>
    </w:pPr>
    <w:rPr>
      <w:rFonts w:asciiTheme="majorHAnsi" w:eastAsiaTheme="majorEastAsia" w:hAnsiTheme="majorHAnsi" w:cs="Mangal"/>
      <w:color w:val="17365D" w:themeColor="text2" w:themeShade="BF"/>
      <w:spacing w:val="5"/>
      <w:sz w:val="52"/>
      <w:szCs w:val="47"/>
      <w:lang w:eastAsia="zh-CN" w:bidi="hi-IN"/>
    </w:rPr>
  </w:style>
  <w:style w:type="character" w:customStyle="1" w:styleId="TtuloChar1">
    <w:name w:val="Título Char1"/>
    <w:basedOn w:val="Fontepargpadro"/>
    <w:uiPriority w:val="10"/>
    <w:rsid w:val="00BF4548"/>
    <w:rPr>
      <w:rFonts w:asciiTheme="majorHAnsi" w:eastAsiaTheme="majorEastAsia" w:hAnsiTheme="majorHAnsi" w:cstheme="majorBidi"/>
      <w:color w:val="17365D" w:themeColor="text2" w:themeShade="BF"/>
      <w:spacing w:val="5"/>
      <w:kern w:val="28"/>
      <w:sz w:val="52"/>
      <w:szCs w:val="52"/>
    </w:rPr>
  </w:style>
  <w:style w:type="paragraph" w:customStyle="1" w:styleId="Textopadro">
    <w:name w:val="Texto padrão"/>
    <w:basedOn w:val="Normal"/>
    <w:qFormat/>
    <w:rsid w:val="00BF4548"/>
    <w:pPr>
      <w:widowControl w:val="0"/>
      <w:suppressAutoHyphens/>
      <w:spacing w:after="0" w:line="240" w:lineRule="auto"/>
    </w:pPr>
    <w:rPr>
      <w:rFonts w:ascii="Liberation Serif" w:eastAsia="Arial Unicode MS" w:hAnsi="Liberation Serif" w:cs="Mangal"/>
      <w:color w:val="00000A"/>
      <w:kern w:val="2"/>
      <w:sz w:val="24"/>
      <w:szCs w:val="24"/>
      <w:lang w:eastAsia="zh-CN" w:bidi="hi-IN"/>
    </w:rPr>
  </w:style>
  <w:style w:type="paragraph" w:styleId="Corpodetexto">
    <w:name w:val="Body Text"/>
    <w:basedOn w:val="Normal"/>
    <w:link w:val="CorpodetextoChar"/>
    <w:uiPriority w:val="99"/>
    <w:semiHidden/>
    <w:unhideWhenUsed/>
    <w:rsid w:val="00BF4548"/>
    <w:pPr>
      <w:spacing w:after="120"/>
    </w:pPr>
  </w:style>
  <w:style w:type="character" w:customStyle="1" w:styleId="CorpodetextoChar">
    <w:name w:val="Corpo de texto Char"/>
    <w:basedOn w:val="Fontepargpadro"/>
    <w:link w:val="Corpodetexto"/>
    <w:uiPriority w:val="99"/>
    <w:semiHidden/>
    <w:rsid w:val="00BF4548"/>
  </w:style>
  <w:style w:type="character" w:styleId="Hyperlink">
    <w:name w:val="Hyperlink"/>
    <w:basedOn w:val="Fontepargpadro"/>
    <w:uiPriority w:val="99"/>
    <w:unhideWhenUsed/>
    <w:rsid w:val="00BF4548"/>
    <w:rPr>
      <w:color w:val="0000FF" w:themeColor="hyperlink"/>
      <w:u w:val="single"/>
    </w:rPr>
  </w:style>
  <w:style w:type="paragraph" w:customStyle="1" w:styleId="Contedodatabela">
    <w:name w:val="Conteúdo da tabela"/>
    <w:basedOn w:val="Normal"/>
    <w:qFormat/>
    <w:rsid w:val="002C7D47"/>
    <w:pPr>
      <w:widowControl w:val="0"/>
      <w:suppressLineNumbers/>
      <w:suppressAutoHyphens/>
      <w:spacing w:after="0" w:line="240" w:lineRule="auto"/>
    </w:pPr>
    <w:rPr>
      <w:rFonts w:ascii="Liberation Serif" w:eastAsia="SimSun" w:hAnsi="Liberation Serif"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licitacao@agronomica.sc.gov.b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citacao@agronomica.sc.gov.b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10</Pages>
  <Words>3586</Words>
  <Characters>19367</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22908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cp:lastModifiedBy>
  <cp:revision>8</cp:revision>
  <dcterms:created xsi:type="dcterms:W3CDTF">2012-02-02T18:33:00Z</dcterms:created>
  <dcterms:modified xsi:type="dcterms:W3CDTF">2026-08-12T12:44:00Z</dcterms:modified>
</cp:coreProperties>
</file>