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5C1F" w:rsidRDefault="001C5C1F">
      <w:pPr>
        <w:jc w:val="center"/>
        <w:rPr>
          <w:rFonts w:ascii="Times New Roman" w:hAnsi="Times New Roman" w:cs="Rockwell"/>
          <w:sz w:val="22"/>
          <w:szCs w:val="22"/>
        </w:rPr>
      </w:pPr>
    </w:p>
    <w:p w:rsidR="001C5C1F" w:rsidRDefault="00972783">
      <w:pPr>
        <w:pStyle w:val="Normal0"/>
        <w:jc w:val="center"/>
        <w:rPr>
          <w:u w:val="single"/>
        </w:rPr>
      </w:pPr>
      <w:r>
        <w:rPr>
          <w:rFonts w:ascii="Times New Roman" w:hAnsi="Times New Roman" w:cs="Rockwell"/>
          <w:b/>
          <w:bCs/>
          <w:sz w:val="22"/>
          <w:szCs w:val="22"/>
          <w:u w:val="single"/>
        </w:rPr>
        <w:t>TERMO DE HOMOLOGAÇÃO E ADJUDICAÇÃO DE PROCESSO LICITATÓRIO</w:t>
      </w:r>
    </w:p>
    <w:p w:rsidR="001C5C1F" w:rsidRDefault="001C5C1F">
      <w:pPr>
        <w:pStyle w:val="Normal0"/>
        <w:jc w:val="both"/>
        <w:rPr>
          <w:rFonts w:ascii="Times New Roman" w:hAnsi="Times New Roman" w:cs="Rockwell"/>
          <w:color w:val="000000"/>
          <w:sz w:val="22"/>
          <w:szCs w:val="22"/>
        </w:rPr>
      </w:pPr>
    </w:p>
    <w:p w:rsidR="001C5C1F" w:rsidRDefault="00AC3351">
      <w:pPr>
        <w:pStyle w:val="Normal0"/>
        <w:jc w:val="both"/>
      </w:pPr>
      <w:r>
        <w:rPr>
          <w:rFonts w:ascii="Times New Roman" w:hAnsi="Times New Roman" w:cs="Rockwell"/>
          <w:color w:val="000000"/>
          <w:sz w:val="22"/>
          <w:szCs w:val="22"/>
        </w:rPr>
        <w:t>O Presidente, EDINALDO FERNANDES</w:t>
      </w:r>
      <w:r w:rsidR="00972783">
        <w:rPr>
          <w:rFonts w:ascii="Times New Roman" w:hAnsi="Times New Roman" w:cs="Rockwell"/>
          <w:color w:val="000000"/>
          <w:sz w:val="22"/>
          <w:szCs w:val="22"/>
        </w:rPr>
        <w:t xml:space="preserve">, no uso das atribuições que lhe são conferidas pela legislação em vigor, especialmente sob Lei nº </w:t>
      </w:r>
      <w:r w:rsidR="00607DB6">
        <w:rPr>
          <w:rFonts w:ascii="Times New Roman" w:hAnsi="Times New Roman" w:cs="Rockwell"/>
          <w:color w:val="000000"/>
          <w:sz w:val="22"/>
          <w:szCs w:val="22"/>
        </w:rPr>
        <w:t>14.133/2021</w:t>
      </w:r>
      <w:r w:rsidR="00972783">
        <w:rPr>
          <w:rFonts w:ascii="Times New Roman" w:hAnsi="Times New Roman" w:cs="Rockwell"/>
          <w:color w:val="000000"/>
          <w:sz w:val="22"/>
          <w:szCs w:val="22"/>
        </w:rPr>
        <w:t xml:space="preserve"> e alterações posteriores, a vista do parecer conclusivo exarado pelo Pregoeiro e sua equipe de apoio, resolve:</w:t>
      </w:r>
    </w:p>
    <w:p w:rsidR="001C5C1F" w:rsidRDefault="001C5C1F">
      <w:pPr>
        <w:pStyle w:val="Normal0"/>
        <w:rPr>
          <w:rFonts w:ascii="Times New Roman" w:hAnsi="Times New Roman" w:cs="Rockwell"/>
          <w:color w:val="000000"/>
          <w:sz w:val="22"/>
          <w:szCs w:val="22"/>
        </w:rPr>
      </w:pPr>
    </w:p>
    <w:p w:rsidR="001C5C1F" w:rsidRDefault="00972783">
      <w:pPr>
        <w:pStyle w:val="Normal0"/>
        <w:rPr>
          <w:rFonts w:ascii="Times New Roman" w:hAnsi="Times New Roman" w:cs="Rockwell"/>
          <w:color w:val="000000"/>
          <w:sz w:val="22"/>
          <w:szCs w:val="22"/>
        </w:rPr>
      </w:pPr>
      <w:r>
        <w:rPr>
          <w:rFonts w:ascii="Times New Roman" w:hAnsi="Times New Roman" w:cs="Rockwell"/>
          <w:color w:val="000000"/>
          <w:sz w:val="22"/>
          <w:szCs w:val="22"/>
        </w:rPr>
        <w:t>01 - HOMOLOGAR E ADJUDICAR a presente Licitação nestes termos:</w:t>
      </w:r>
    </w:p>
    <w:p w:rsidR="001C5C1F" w:rsidRDefault="00972783">
      <w:pPr>
        <w:pStyle w:val="Normal0"/>
        <w:rPr>
          <w:rFonts w:ascii="Times New Roman" w:hAnsi="Times New Roman" w:cs="Rockwell"/>
          <w:color w:val="000000"/>
          <w:sz w:val="22"/>
          <w:szCs w:val="22"/>
        </w:rPr>
      </w:pPr>
      <w:r>
        <w:rPr>
          <w:rFonts w:ascii="Times New Roman" w:hAnsi="Times New Roman" w:cs="Rockwell"/>
          <w:color w:val="000000"/>
          <w:sz w:val="22"/>
          <w:szCs w:val="22"/>
        </w:rPr>
        <w:t>a) Processo Administrativo: 11/2026</w:t>
      </w:r>
    </w:p>
    <w:p w:rsidR="001C5C1F" w:rsidRDefault="00972783">
      <w:pPr>
        <w:pStyle w:val="Normal0"/>
        <w:rPr>
          <w:rFonts w:ascii="Times New Roman" w:hAnsi="Times New Roman" w:cs="Rockwell"/>
          <w:color w:val="000000"/>
          <w:sz w:val="22"/>
          <w:szCs w:val="22"/>
        </w:rPr>
      </w:pPr>
      <w:r>
        <w:rPr>
          <w:rFonts w:ascii="Times New Roman" w:hAnsi="Times New Roman" w:cs="Rockwell"/>
          <w:color w:val="000000"/>
          <w:sz w:val="22"/>
          <w:szCs w:val="22"/>
        </w:rPr>
        <w:t>b) Licitação: DL 09/2026</w:t>
      </w:r>
    </w:p>
    <w:p w:rsidR="001C5C1F" w:rsidRDefault="00972783">
      <w:pPr>
        <w:pStyle w:val="Normal0"/>
        <w:rPr>
          <w:rFonts w:ascii="Times New Roman" w:hAnsi="Times New Roman" w:cs="Rockwell"/>
          <w:color w:val="000000"/>
          <w:sz w:val="22"/>
          <w:szCs w:val="22"/>
        </w:rPr>
      </w:pPr>
      <w:r>
        <w:rPr>
          <w:rFonts w:ascii="Times New Roman" w:hAnsi="Times New Roman" w:cs="Rockwell"/>
          <w:color w:val="000000"/>
          <w:sz w:val="22"/>
          <w:szCs w:val="22"/>
        </w:rPr>
        <w:t xml:space="preserve">c) Modalidade: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Disp</w:t>
      </w:r>
      <w:r w:rsidR="00AC3351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ensa </w:t>
      </w:r>
    </w:p>
    <w:p w:rsidR="001C5C1F" w:rsidRDefault="0097278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hint="eastAsia"/>
        </w:rPr>
      </w:pPr>
      <w:r>
        <w:rPr>
          <w:rFonts w:ascii="Times New Roman" w:hAnsi="Times New Roman" w:cs="Times New Roman"/>
          <w:sz w:val="22"/>
          <w:szCs w:val="22"/>
        </w:rPr>
        <w:t>d) Tipo da licitação: Menor preço</w:t>
      </w:r>
    </w:p>
    <w:p w:rsidR="001C5C1F" w:rsidRDefault="00972783">
      <w:pPr>
        <w:pStyle w:val="Normal0"/>
        <w:rPr>
          <w:rFonts w:ascii="Times New Roman" w:hAnsi="Times New Roman" w:cs="Rockwell"/>
          <w:color w:val="000000"/>
          <w:sz w:val="22"/>
          <w:szCs w:val="22"/>
        </w:rPr>
      </w:pPr>
      <w:r>
        <w:rPr>
          <w:rFonts w:ascii="Times New Roman" w:hAnsi="Times New Roman" w:cs="Arial Narrow"/>
          <w:color w:val="000000"/>
          <w:sz w:val="22"/>
          <w:szCs w:val="22"/>
        </w:rPr>
        <w:t>e) Forma de julgamento: Por item</w:t>
      </w:r>
    </w:p>
    <w:p w:rsidR="001C5C1F" w:rsidRDefault="00972783">
      <w:pPr>
        <w:pStyle w:val="Normal0"/>
        <w:rPr>
          <w:rFonts w:ascii="Times New Roman" w:hAnsi="Times New Roman" w:cs="Rockwell"/>
          <w:color w:val="000000"/>
          <w:sz w:val="22"/>
          <w:szCs w:val="22"/>
        </w:rPr>
      </w:pPr>
      <w:r>
        <w:rPr>
          <w:rFonts w:ascii="Times New Roman" w:hAnsi="Times New Roman" w:cs="Rockwell"/>
          <w:color w:val="000000"/>
          <w:sz w:val="22"/>
          <w:szCs w:val="22"/>
        </w:rPr>
        <w:t>f) Data de homologação: 04/11/2026</w:t>
      </w:r>
    </w:p>
    <w:p w:rsidR="001C5C1F" w:rsidRDefault="00972783" w:rsidP="00AC3351">
      <w:pPr>
        <w:pStyle w:val="Normal0"/>
        <w:jc w:val="both"/>
        <w:rPr>
          <w:rFonts w:ascii="Times New Roman" w:hAnsi="Times New Roman" w:cs="Rockwell"/>
          <w:color w:val="000000"/>
          <w:sz w:val="22"/>
          <w:szCs w:val="22"/>
        </w:rPr>
      </w:pPr>
      <w:r>
        <w:rPr>
          <w:rFonts w:ascii="Times New Roman" w:hAnsi="Times New Roman" w:cs="Rockwell"/>
          <w:color w:val="000000"/>
          <w:sz w:val="22"/>
          <w:szCs w:val="22"/>
        </w:rPr>
        <w:t xml:space="preserve">g)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Objeto da licitação: </w:t>
      </w:r>
      <w:r>
        <w:rPr>
          <w:rFonts w:ascii="Times New Roman" w:hAnsi="Times New Roman" w:cs="Rockwell"/>
          <w:color w:val="000000"/>
          <w:sz w:val="22"/>
          <w:szCs w:val="22"/>
        </w:rPr>
        <w:t>REGISTRO DE PREÇO PARA AQUISIÇÃO EVENTUAL E PARCELADA DE SUPRIMENTOS PARA IMPRESSORAS, COMPREENDENDO CARTUCHOS DE TINTA E TONERS, ORIGINAIS OU COMPATÍVEIS, CONFORME OS REQUISITOS DE COMPATIBILIDADE E DESEMPENHO ESTABELECIDOS NAS ESPECIFICAÇÕES DOS ITENS, DESTINADOS A ATENDER ÀS NECESSIDADES DA CÂMARA DE VEREADORES DE AGRONÔMICA/SC, DE ACORDO COM AS CONDIÇÕES, QUANTIDADES E EXIGÊNCIAS ESTABELECIDAS NO TERMO DE REFERÊNCIA</w:t>
      </w:r>
    </w:p>
    <w:p w:rsidR="001C5C1F" w:rsidRDefault="00972783">
      <w:pPr>
        <w:pStyle w:val="Normal0"/>
      </w:pPr>
      <w:r>
        <w:rPr>
          <w:rFonts w:ascii="Times New Roman" w:hAnsi="Times New Roman" w:cs="Rockwell"/>
          <w:color w:val="000000"/>
          <w:sz w:val="22"/>
          <w:szCs w:val="22"/>
        </w:rPr>
        <w:t>h) Fornecedores e itens vencedores:</w:t>
      </w:r>
    </w:p>
    <w:p w:rsidR="001C5C1F" w:rsidRDefault="001C5C1F">
      <w:pPr>
        <w:pStyle w:val="Normal0"/>
        <w:rPr>
          <w:rFonts w:ascii="Times New Roman" w:hAnsi="Times New Roman" w:cs="Rockwell"/>
          <w:color w:val="000000"/>
          <w:sz w:val="22"/>
          <w:szCs w:val="22"/>
        </w:rPr>
      </w:pPr>
    </w:p>
    <w:p w:rsidR="00FE1CE0" w:rsidRDefault="00AC3351">
      <w:pPr>
        <w:rPr>
          <w:rFonts w:hint="eastAsia"/>
        </w:rPr>
      </w:pPr>
      <w:r>
        <w:rPr>
          <w:rFonts w:ascii="Times New Roman" w:hAnsi="Times New Roman" w:cs="Rockwell"/>
          <w:b/>
          <w:sz w:val="20"/>
        </w:rPr>
        <w:t xml:space="preserve"> 3111 - ANDREINI CESAR LOHN - ME (26.641.082/0001-47)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78"/>
        <w:gridCol w:w="4040"/>
        <w:gridCol w:w="896"/>
        <w:gridCol w:w="891"/>
        <w:gridCol w:w="1228"/>
        <w:gridCol w:w="905"/>
        <w:gridCol w:w="1016"/>
      </w:tblGrid>
      <w:tr w:rsidR="00FE1CE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b/>
                <w:sz w:val="20"/>
              </w:rPr>
              <w:t>Item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b/>
                <w:sz w:val="20"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b/>
                <w:sz w:val="20"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b/>
                <w:sz w:val="20"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b/>
                <w:sz w:val="20"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b/>
                <w:sz w:val="20"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b/>
                <w:sz w:val="20"/>
              </w:rPr>
              <w:t>Valor total (R$)</w:t>
            </w:r>
          </w:p>
        </w:tc>
      </w:tr>
      <w:tr w:rsidR="00FE1CE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>1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>44923 - Cartucho de tinta amarelo (Yellow)</w:t>
            </w:r>
            <w:r>
              <w:rPr>
                <w:rFonts w:ascii="Times New Roman" w:hAnsi="Times New Roman" w:cs="Rockwell"/>
                <w:sz w:val="20"/>
              </w:rPr>
              <w:br/>
              <w:t>referência Brother LC406Y, destinado à utilização em impressora multifuncional Brother MFC-J5855DW. Suprimento original ou compatível de qualidade equivalente, novo, não remanufaturado, não recondicionado e em emb</w:t>
            </w:r>
            <w:r>
              <w:rPr>
                <w:rFonts w:ascii="Times New Roman" w:hAnsi="Times New Roman" w:cs="Rockwell"/>
                <w:sz w:val="20"/>
              </w:rPr>
              <w:t>alagem original adequada, com rendimento mínimo de 1.400 páginas, conforme metodologia de rendimento do fabricante. Deverá ser plenamente compatível com o equipamento, sem causar falhas de reconhecimento, vazamentos ou comprometimento da qualidade de impre</w:t>
            </w:r>
            <w:r>
              <w:rPr>
                <w:rFonts w:ascii="Times New Roman" w:hAnsi="Times New Roman" w:cs="Rockwell"/>
                <w:sz w:val="20"/>
              </w:rPr>
              <w:t>ssão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 xml:space="preserve">UN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FE1CE0" w:rsidP="00AC3351">
            <w:pPr>
              <w:jc w:val="both"/>
              <w:rPr>
                <w:rFonts w:hint="eastAsi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>240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 xml:space="preserve"> 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 xml:space="preserve"> 1.920,00</w:t>
            </w:r>
          </w:p>
        </w:tc>
      </w:tr>
      <w:tr w:rsidR="00FE1CE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>2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>44924 - Cartucho de tinta ciano (Cyan)</w:t>
            </w:r>
            <w:r>
              <w:rPr>
                <w:rFonts w:ascii="Times New Roman" w:hAnsi="Times New Roman" w:cs="Rockwell"/>
                <w:sz w:val="20"/>
              </w:rPr>
              <w:br/>
              <w:t>referência Brother LC406C, destinado à utilização em impressora multifuncional Brother MFC-J5855DW. Suprimento original ou compatível de qualidade equivalente, novo, não remanufatura</w:t>
            </w:r>
            <w:r>
              <w:rPr>
                <w:rFonts w:ascii="Times New Roman" w:hAnsi="Times New Roman" w:cs="Rockwell"/>
                <w:sz w:val="20"/>
              </w:rPr>
              <w:t>do, não recondicionado e em embalagem original adequada, com rendimento mínimo de 1.400 páginas, conforme metodologia de rendimento do fabricante. Deverá ser plenamente compatível com o equipamento, sem causar falhas de reconhecimento, vazamentos ou compro</w:t>
            </w:r>
            <w:r>
              <w:rPr>
                <w:rFonts w:ascii="Times New Roman" w:hAnsi="Times New Roman" w:cs="Rockwell"/>
                <w:sz w:val="20"/>
              </w:rPr>
              <w:t>metimento da qualidade de impressão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 xml:space="preserve">UN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FE1CE0" w:rsidP="00AC3351">
            <w:pPr>
              <w:jc w:val="both"/>
              <w:rPr>
                <w:rFonts w:hint="eastAsi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>240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 xml:space="preserve"> 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 xml:space="preserve"> 1.920,00</w:t>
            </w:r>
          </w:p>
        </w:tc>
      </w:tr>
      <w:tr w:rsidR="00FE1CE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>3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>44925 - Cartucho de tinta magenta (Magenta)</w:t>
            </w:r>
            <w:r>
              <w:rPr>
                <w:rFonts w:ascii="Times New Roman" w:hAnsi="Times New Roman" w:cs="Rockwell"/>
                <w:sz w:val="20"/>
              </w:rPr>
              <w:br/>
            </w:r>
            <w:r>
              <w:rPr>
                <w:rFonts w:ascii="Times New Roman" w:hAnsi="Times New Roman" w:cs="Rockwell"/>
                <w:sz w:val="20"/>
              </w:rPr>
              <w:lastRenderedPageBreak/>
              <w:t>referência Brother LC406M, destinado à utilização em impressora multifuncional Brother MFC-J5855DW. Suprimento original ou compatível de qualidade equivalente, novo, não remanufaturado, não recondicionado e em embalagem original adequada, com rendimento mí</w:t>
            </w:r>
            <w:r>
              <w:rPr>
                <w:rFonts w:ascii="Times New Roman" w:hAnsi="Times New Roman" w:cs="Rockwell"/>
                <w:sz w:val="20"/>
              </w:rPr>
              <w:t>nimo de 1.400 páginas, conforme metodologia de rendimento do fabricante. Deverá ser plenamente compatível com o equipamento, sem causar falhas de reconhecimento, vazamentos ou comprometimento da qualidade de impressão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lastRenderedPageBreak/>
              <w:t xml:space="preserve">UN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FE1CE0" w:rsidP="00AC3351">
            <w:pPr>
              <w:jc w:val="both"/>
              <w:rPr>
                <w:rFonts w:hint="eastAsi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>270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 xml:space="preserve"> 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 xml:space="preserve"> 2.160,00</w:t>
            </w:r>
          </w:p>
        </w:tc>
      </w:tr>
      <w:tr w:rsidR="00FE1CE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lastRenderedPageBreak/>
              <w:t>4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 xml:space="preserve">44926 - </w:t>
            </w:r>
            <w:r>
              <w:rPr>
                <w:rFonts w:ascii="Times New Roman" w:hAnsi="Times New Roman" w:cs="Rockwell"/>
                <w:sz w:val="20"/>
              </w:rPr>
              <w:t>Cartucho de tinta preta (Black)</w:t>
            </w:r>
            <w:r>
              <w:rPr>
                <w:rFonts w:ascii="Times New Roman" w:hAnsi="Times New Roman" w:cs="Rockwell"/>
                <w:sz w:val="20"/>
              </w:rPr>
              <w:br/>
              <w:t>referência Brother LC406BK, destinado à utilização em impressora multifuncional Brother MFC-J5855DW. Suprimento original ou compatível de qualidade equivalente, novo, não remanufaturado, não recondicionado e em embalagem ori</w:t>
            </w:r>
            <w:r>
              <w:rPr>
                <w:rFonts w:ascii="Times New Roman" w:hAnsi="Times New Roman" w:cs="Rockwell"/>
                <w:sz w:val="20"/>
              </w:rPr>
              <w:t>ginal adequada, com rendimento mínimo de 1.400 páginas, conforme metodologia de rendimento do fabricante. Deverá ser plenamente compatível com o equipamento, sem causar falhas de reconhecimento, vazamentos ou comprometimento da qualidade de impressão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 xml:space="preserve">UN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FE1CE0" w:rsidP="00AC3351">
            <w:pPr>
              <w:jc w:val="both"/>
              <w:rPr>
                <w:rFonts w:hint="eastAsi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>345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 xml:space="preserve"> 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 xml:space="preserve"> 2.760,00</w:t>
            </w:r>
          </w:p>
        </w:tc>
      </w:tr>
      <w:tr w:rsidR="00FE1CE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>5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>44927 - Cartucho de toner preto, referência HP 85A / CF285A</w:t>
            </w:r>
            <w:r>
              <w:rPr>
                <w:rFonts w:ascii="Times New Roman" w:hAnsi="Times New Roman" w:cs="Rockwell"/>
                <w:sz w:val="20"/>
              </w:rPr>
              <w:br/>
              <w:t>Cartucho de toner preto, referência HP 85A / CF285A, destinado à impressora multifuncional HP LaserJet Pro M1212nf MFP. Produto original ou compatível de qualidade equival</w:t>
            </w:r>
            <w:r>
              <w:rPr>
                <w:rFonts w:ascii="Times New Roman" w:hAnsi="Times New Roman" w:cs="Rockwell"/>
                <w:sz w:val="20"/>
              </w:rPr>
              <w:t>ente, novo, não remanufaturado e não recondicionado, com rendimento mínimo de 900 páginas, conforme metodologia de rendimento do fabricante. Deverá ser plenamente compatível com o equipamento, permitindo reconhecimento correto do suprimento e impressão com</w:t>
            </w:r>
            <w:r>
              <w:rPr>
                <w:rFonts w:ascii="Times New Roman" w:hAnsi="Times New Roman" w:cs="Rockwell"/>
                <w:sz w:val="20"/>
              </w:rPr>
              <w:t xml:space="preserve"> qualidade adequada, sem vazamentos ou danos ao equipamento.U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 xml:space="preserve">UN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FE1CE0" w:rsidP="00AC3351">
            <w:pPr>
              <w:jc w:val="both"/>
              <w:rPr>
                <w:rFonts w:hint="eastAsi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>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 xml:space="preserve"> 4,00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 xml:space="preserve"> 320,00</w:t>
            </w:r>
          </w:p>
        </w:tc>
      </w:tr>
      <w:tr w:rsidR="00FE1CE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>6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>44928 - Cartucho de toner preto, referência HP 12A / Q2612A</w:t>
            </w:r>
            <w:r>
              <w:rPr>
                <w:rFonts w:ascii="Times New Roman" w:hAnsi="Times New Roman" w:cs="Rockwell"/>
                <w:sz w:val="20"/>
              </w:rPr>
              <w:br/>
            </w:r>
            <w:r>
              <w:rPr>
                <w:rFonts w:ascii="Times New Roman" w:hAnsi="Times New Roman" w:cs="Rockwell"/>
                <w:sz w:val="20"/>
              </w:rPr>
              <w:t>Cartucho de toner preto, referência HP 12A / Q2612A, destinado à impressora HP LaserJet 1020. Produto original ou compatível de qualidade equivalente, novo, não remanufaturado e não recondicionado, com rendimento mínimo de 900 páginas, conforme metodologia</w:t>
            </w:r>
            <w:r>
              <w:rPr>
                <w:rFonts w:ascii="Times New Roman" w:hAnsi="Times New Roman" w:cs="Rockwell"/>
                <w:sz w:val="20"/>
              </w:rPr>
              <w:t xml:space="preserve"> de rendimento do fabricante. Deverá ser plenamente compatível com o equipamento, permitindo reconhecimento correto do suprimento e impressão com qualidade adequada, sem vazamentos ou danos ao equipamento.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 xml:space="preserve">UN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FE1CE0" w:rsidP="00AC3351">
            <w:pPr>
              <w:jc w:val="both"/>
              <w:rPr>
                <w:rFonts w:hint="eastAsi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>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 xml:space="preserve"> 4,00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 xml:space="preserve"> 320,00</w:t>
            </w:r>
          </w:p>
        </w:tc>
      </w:tr>
      <w:tr w:rsidR="00FE1CE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>7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>44929 - Garrafa de tint</w:t>
            </w:r>
            <w:r>
              <w:rPr>
                <w:rFonts w:ascii="Times New Roman" w:hAnsi="Times New Roman" w:cs="Rockwell"/>
                <w:sz w:val="20"/>
              </w:rPr>
              <w:t xml:space="preserve">a magenta, referência </w:t>
            </w:r>
            <w:r>
              <w:rPr>
                <w:rFonts w:ascii="Times New Roman" w:hAnsi="Times New Roman" w:cs="Rockwell"/>
                <w:sz w:val="20"/>
              </w:rPr>
              <w:lastRenderedPageBreak/>
              <w:t>HP GT52</w:t>
            </w:r>
            <w:r>
              <w:rPr>
                <w:rFonts w:ascii="Times New Roman" w:hAnsi="Times New Roman" w:cs="Rockwell"/>
                <w:sz w:val="20"/>
              </w:rPr>
              <w:br/>
              <w:t xml:space="preserve">para utilização em equipamentos de impressão HP compatíveis com o sistema de abastecimento de tinta GT52. Produto original ou compatível de qualidade equivalente, novo, lacrado e em embalagem adequada, com tinta de composição </w:t>
            </w:r>
            <w:r>
              <w:rPr>
                <w:rFonts w:ascii="Times New Roman" w:hAnsi="Times New Roman" w:cs="Rockwell"/>
                <w:sz w:val="20"/>
              </w:rPr>
              <w:t>e especificações compatíveis com o equipamento, garantindo adequada qualidade de impressão e funcionamento do sistema de tinta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lastRenderedPageBreak/>
              <w:t xml:space="preserve">UN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FE1CE0" w:rsidP="00AC3351">
            <w:pPr>
              <w:jc w:val="both"/>
              <w:rPr>
                <w:rFonts w:hint="eastAsi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>120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 xml:space="preserve"> 4,00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 xml:space="preserve"> 480,00</w:t>
            </w:r>
          </w:p>
        </w:tc>
      </w:tr>
      <w:tr w:rsidR="00FE1CE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lastRenderedPageBreak/>
              <w:t>8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>44930 - Garrafa de tinta ciano, referência HP GT52</w:t>
            </w:r>
            <w:r>
              <w:rPr>
                <w:rFonts w:ascii="Times New Roman" w:hAnsi="Times New Roman" w:cs="Rockwell"/>
                <w:sz w:val="20"/>
              </w:rPr>
              <w:br/>
            </w:r>
            <w:r>
              <w:rPr>
                <w:rFonts w:ascii="Times New Roman" w:hAnsi="Times New Roman" w:cs="Rockwell"/>
                <w:sz w:val="20"/>
              </w:rPr>
              <w:t>para utilização em equipamentos de impressão HP compatíveis com o sistema de abastecimento de tinta GT52. Produto original ou compatível de qualidade equivalente, novo, lacrado e em embalagem adequada, com tinta de composição e especificações compatíveis c</w:t>
            </w:r>
            <w:r>
              <w:rPr>
                <w:rFonts w:ascii="Times New Roman" w:hAnsi="Times New Roman" w:cs="Rockwell"/>
                <w:sz w:val="20"/>
              </w:rPr>
              <w:t>om o equipamento, garantindo adequada qualidade de impressão e funcionamento do sistema de tinta.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 xml:space="preserve">UN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FE1CE0" w:rsidP="00AC3351">
            <w:pPr>
              <w:jc w:val="both"/>
              <w:rPr>
                <w:rFonts w:hint="eastAsi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>120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 xml:space="preserve"> 4,00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 xml:space="preserve"> 480,00</w:t>
            </w:r>
          </w:p>
        </w:tc>
      </w:tr>
      <w:tr w:rsidR="00FE1CE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>9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>44931 - Garrafa de tinta amarelo, referência HP GT52</w:t>
            </w:r>
            <w:r>
              <w:rPr>
                <w:rFonts w:ascii="Times New Roman" w:hAnsi="Times New Roman" w:cs="Rockwell"/>
                <w:sz w:val="20"/>
              </w:rPr>
              <w:br/>
              <w:t>Garrafa de tinta amarelo, referência HP GT52, para utilização em equipamentos</w:t>
            </w:r>
            <w:r>
              <w:rPr>
                <w:rFonts w:ascii="Times New Roman" w:hAnsi="Times New Roman" w:cs="Rockwell"/>
                <w:sz w:val="20"/>
              </w:rPr>
              <w:t xml:space="preserve"> de impressão HP compatíveis com o sistema de abastecimento de tinta GT52. Produto original ou compatível de qualidade equivalente, novo, lacrado e em embalagem adequada, com tinta de composição e especificações compatíveis com o equipamento, garantindo ad</w:t>
            </w:r>
            <w:r>
              <w:rPr>
                <w:rFonts w:ascii="Times New Roman" w:hAnsi="Times New Roman" w:cs="Rockwell"/>
                <w:sz w:val="20"/>
              </w:rPr>
              <w:t>equada qualidade de impressão e funcionamento do sistema de tinta.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 xml:space="preserve">UN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FE1CE0" w:rsidP="00AC3351">
            <w:pPr>
              <w:jc w:val="both"/>
              <w:rPr>
                <w:rFonts w:hint="eastAsi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>120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 xml:space="preserve"> 4,00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 xml:space="preserve"> 480,00</w:t>
            </w:r>
          </w:p>
        </w:tc>
      </w:tr>
      <w:tr w:rsidR="00FE1CE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>10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>44932 - Garrafa de tinta preta, referência HP GT53</w:t>
            </w:r>
            <w:r>
              <w:rPr>
                <w:rFonts w:ascii="Times New Roman" w:hAnsi="Times New Roman" w:cs="Rockwell"/>
                <w:sz w:val="20"/>
              </w:rPr>
              <w:br/>
              <w:t>para utilização em equipamentos de impressão HP compatíveis com o sistema de abastecimento de tinta GT53. Pro</w:t>
            </w:r>
            <w:r>
              <w:rPr>
                <w:rFonts w:ascii="Times New Roman" w:hAnsi="Times New Roman" w:cs="Rockwell"/>
                <w:sz w:val="20"/>
              </w:rPr>
              <w:t>duto original ou compatível de qualidade equivalente, novo, lacrado e em embalagem adequada, com tinta de composição e especificações compatíveis com o equipamento, garantindo adequada qualidade de impressão e funcionamento do sistema de tinta.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 xml:space="preserve">UN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FE1CE0" w:rsidP="00AC3351">
            <w:pPr>
              <w:jc w:val="both"/>
              <w:rPr>
                <w:rFonts w:hint="eastAsi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>120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 xml:space="preserve"> 4,00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 w:rsidP="00AC3351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 xml:space="preserve"> 480,00</w:t>
            </w:r>
          </w:p>
        </w:tc>
      </w:tr>
      <w:tr w:rsidR="00FE1CE0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>
            <w:pPr>
              <w:jc w:val="right"/>
              <w:rPr>
                <w:rFonts w:hint="eastAsia"/>
              </w:rPr>
            </w:pPr>
            <w:r>
              <w:rPr>
                <w:rFonts w:ascii="Times New Roman" w:hAnsi="Times New Roman" w:cs="Rockwell"/>
                <w:b/>
                <w:sz w:val="20"/>
              </w:rPr>
              <w:t>Total (R$):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E0" w:rsidRDefault="00AC3351">
            <w:pPr>
              <w:jc w:val="right"/>
              <w:rPr>
                <w:rFonts w:hint="eastAsia"/>
              </w:rPr>
            </w:pPr>
            <w:r>
              <w:rPr>
                <w:rFonts w:ascii="Times New Roman" w:hAnsi="Times New Roman" w:cs="Rockwell"/>
                <w:sz w:val="20"/>
              </w:rPr>
              <w:t xml:space="preserve"> 11.320,00</w:t>
            </w:r>
          </w:p>
        </w:tc>
      </w:tr>
    </w:tbl>
    <w:p w:rsidR="001C5C1F" w:rsidRDefault="001C5C1F">
      <w:pPr>
        <w:pStyle w:val="Normal0"/>
        <w:rPr>
          <w:rFonts w:ascii="Times New Roman" w:hAnsi="Times New Roman" w:cs="Rockwell"/>
          <w:color w:val="000000"/>
          <w:sz w:val="22"/>
          <w:szCs w:val="22"/>
        </w:rPr>
      </w:pPr>
    </w:p>
    <w:p w:rsidR="001C5C1F" w:rsidRDefault="00972783">
      <w:pPr>
        <w:pStyle w:val="Normal0"/>
      </w:pPr>
      <w:r>
        <w:rPr>
          <w:rFonts w:ascii="Times New Roman" w:hAnsi="Times New Roman" w:cs="Rockwell"/>
          <w:color w:val="000000"/>
          <w:sz w:val="22"/>
          <w:szCs w:val="22"/>
        </w:rPr>
        <w:t>02 - RECURSOS ORÇAMENTÁRIOS:</w:t>
      </w:r>
    </w:p>
    <w:p w:rsidR="001C5C1F" w:rsidRDefault="001C5C1F">
      <w:pPr>
        <w:pStyle w:val="Normal0"/>
        <w:jc w:val="both"/>
        <w:rPr>
          <w:rFonts w:ascii="Times New Roman" w:hAnsi="Times New Roman" w:cs="Rockwell"/>
          <w:b/>
          <w:bCs/>
          <w:color w:val="000000"/>
          <w:sz w:val="22"/>
          <w:szCs w:val="22"/>
        </w:rPr>
      </w:pPr>
    </w:p>
    <w:p w:rsidR="001C5C1F" w:rsidRDefault="00972783">
      <w:pPr>
        <w:pStyle w:val="Normal0"/>
        <w:jc w:val="both"/>
      </w:pPr>
      <w:r>
        <w:rPr>
          <w:rFonts w:ascii="Times New Roman" w:hAnsi="Times New Roman" w:cs="Rockwell"/>
          <w:bCs/>
          <w:color w:val="000000"/>
          <w:sz w:val="22"/>
          <w:szCs w:val="22"/>
        </w:rPr>
        <w:t>353 - 7 . 1001 . 1 . 31 . 1 . 2.101 . 0 . 339000 Aplicações Diretas</w:t>
      </w:r>
    </w:p>
    <w:p w:rsidR="00AC3351" w:rsidRPr="00AC3351" w:rsidRDefault="00AC3351">
      <w:pPr>
        <w:pStyle w:val="Normal0"/>
        <w:jc w:val="both"/>
      </w:pPr>
    </w:p>
    <w:p w:rsidR="001C5C1F" w:rsidRDefault="001C5C1F">
      <w:pPr>
        <w:pStyle w:val="Normal0"/>
        <w:rPr>
          <w:rFonts w:ascii="Times New Roman" w:hAnsi="Times New Roman" w:cs="Rockwell"/>
          <w:color w:val="000000"/>
          <w:sz w:val="22"/>
          <w:szCs w:val="22"/>
        </w:rPr>
      </w:pPr>
    </w:p>
    <w:p w:rsidR="001C5C1F" w:rsidRDefault="0097278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hint="eastAsia"/>
        </w:rPr>
      </w:pPr>
      <w:r>
        <w:rPr>
          <w:rFonts w:ascii="Times New Roman" w:hAnsi="Times New Roman" w:cs="Times New Roman"/>
          <w:sz w:val="22"/>
          <w:szCs w:val="22"/>
        </w:rPr>
        <w:t>Agronômica-Santa Catarina, 4 de novembro de 2026</w:t>
      </w:r>
    </w:p>
    <w:p w:rsidR="001C5C1F" w:rsidRDefault="001C5C1F">
      <w:pPr>
        <w:pStyle w:val="Normal0"/>
        <w:jc w:val="center"/>
        <w:rPr>
          <w:rFonts w:ascii="Times New Roman" w:hAnsi="Times New Roman" w:cs="Rockwell"/>
          <w:color w:val="000000"/>
          <w:sz w:val="22"/>
          <w:szCs w:val="22"/>
        </w:rPr>
      </w:pPr>
    </w:p>
    <w:p w:rsidR="001C5C1F" w:rsidRDefault="001C5C1F">
      <w:pPr>
        <w:pStyle w:val="Normal0"/>
        <w:jc w:val="center"/>
        <w:rPr>
          <w:rFonts w:ascii="Times New Roman" w:hAnsi="Times New Roman" w:cs="Rockwell"/>
          <w:color w:val="000000"/>
          <w:sz w:val="22"/>
          <w:szCs w:val="22"/>
        </w:rPr>
      </w:pPr>
    </w:p>
    <w:p w:rsidR="001C5C1F" w:rsidRDefault="001C5C1F">
      <w:pPr>
        <w:pStyle w:val="Normal0"/>
        <w:jc w:val="center"/>
        <w:rPr>
          <w:rFonts w:ascii="Times New Roman" w:hAnsi="Times New Roman" w:cs="Rockwell"/>
          <w:color w:val="000000"/>
          <w:sz w:val="22"/>
          <w:szCs w:val="22"/>
        </w:rPr>
      </w:pPr>
    </w:p>
    <w:p w:rsidR="001C5C1F" w:rsidRDefault="00AC3351">
      <w:pPr>
        <w:pStyle w:val="Normal0"/>
        <w:jc w:val="center"/>
      </w:pPr>
      <w:r>
        <w:rPr>
          <w:rFonts w:ascii="Times New Roman" w:hAnsi="Times New Roman" w:cs="Rockwell"/>
          <w:color w:val="000000"/>
          <w:sz w:val="22"/>
          <w:szCs w:val="22"/>
        </w:rPr>
        <w:t>EDINALDO FERNANDES</w:t>
      </w:r>
    </w:p>
    <w:p w:rsidR="001C5C1F" w:rsidRDefault="00AC3351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</w:pPr>
      <w:r>
        <w:rPr>
          <w:rFonts w:ascii="Times New Roman" w:hAnsi="Times New Roman" w:cs="Rockwell"/>
          <w:color w:val="000000"/>
          <w:sz w:val="22"/>
          <w:szCs w:val="22"/>
        </w:rPr>
        <w:t xml:space="preserve">Presidente </w:t>
      </w:r>
      <w:bookmarkStart w:id="0" w:name="_GoBack"/>
      <w:bookmarkEnd w:id="0"/>
    </w:p>
    <w:sectPr w:rsidR="001C5C1F">
      <w:headerReference w:type="default" r:id="rId6"/>
      <w:pgSz w:w="11906" w:h="16838"/>
      <w:pgMar w:top="1757" w:right="1134" w:bottom="1134" w:left="1134" w:header="283" w:footer="0" w:gutter="0"/>
      <w:cols w:space="720"/>
      <w:formProt w:val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2783" w:rsidRDefault="00972783">
      <w:pPr>
        <w:rPr>
          <w:rFonts w:hint="eastAsia"/>
        </w:rPr>
      </w:pPr>
      <w:r>
        <w:separator/>
      </w:r>
    </w:p>
  </w:endnote>
  <w:endnote w:type="continuationSeparator" w:id="0">
    <w:p w:rsidR="00972783" w:rsidRDefault="0097278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2783" w:rsidRDefault="00972783">
      <w:pPr>
        <w:rPr>
          <w:rFonts w:hint="eastAsia"/>
        </w:rPr>
      </w:pPr>
      <w:r>
        <w:separator/>
      </w:r>
    </w:p>
  </w:footnote>
  <w:footnote w:type="continuationSeparator" w:id="0">
    <w:p w:rsidR="00972783" w:rsidRDefault="00972783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339" w:type="dxa"/>
      <w:tblInd w:w="-814" w:type="dxa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1710"/>
      <w:gridCol w:w="7915"/>
      <w:gridCol w:w="1714"/>
    </w:tblGrid>
    <w:tr w:rsidR="001C5C1F">
      <w:tc>
        <w:tcPr>
          <w:tcW w:w="1696" w:type="dxa"/>
          <w:shd w:val="clear" w:color="auto" w:fill="auto"/>
        </w:tcPr>
        <w:p w:rsidR="001C5C1F" w:rsidRDefault="00972783">
          <w:pPr>
            <w:pStyle w:val="Contedodatabela"/>
            <w:rPr>
              <w:rFonts w:ascii="Times New Roman" w:hAnsi="Times New Roman"/>
            </w:rPr>
          </w:pPr>
          <w:r>
            <w:rPr>
              <w:rFonts w:ascii="Times New Roman" w:hAnsi="Times New Roman"/>
              <w:noProof/>
              <w:lang w:eastAsia="pt-BR" w:bidi="ar-SA"/>
            </w:rPr>
            <w:drawing>
              <wp:anchor distT="0" distB="0" distL="0" distR="0" simplePos="0" relativeHeight="2" behindDoc="1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1016000" cy="1170305"/>
                <wp:effectExtent l="0" t="0" r="0" b="0"/>
                <wp:wrapSquare wrapText="largest"/>
                <wp:docPr id="1" name="Figura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igura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6000" cy="11703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942" w:type="dxa"/>
          <w:shd w:val="clear" w:color="auto" w:fill="auto"/>
        </w:tcPr>
        <w:p w:rsidR="001C5C1F" w:rsidRDefault="00972783">
          <w:pPr>
            <w:rPr>
              <w:rFonts w:hint="eastAsia"/>
              <w:b/>
              <w:bCs/>
              <w:sz w:val="28"/>
              <w:szCs w:val="28"/>
            </w:rPr>
          </w:pPr>
          <w:r>
            <w:rPr>
              <w:rFonts w:ascii="Times New Roman" w:hAnsi="Times New Roman"/>
              <w:b/>
              <w:bCs/>
              <w:sz w:val="32"/>
              <w:szCs w:val="32"/>
            </w:rPr>
            <w:t>Câmara de Vereadores de Agronômica</w:t>
          </w:r>
        </w:p>
        <w:p w:rsidR="001C5C1F" w:rsidRDefault="00972783">
          <w:pPr>
            <w:tabs>
              <w:tab w:val="left" w:pos="3969"/>
            </w:tabs>
            <w:rPr>
              <w:rFonts w:hint="eastAsia"/>
              <w:sz w:val="20"/>
              <w:szCs w:val="20"/>
            </w:rPr>
          </w:pPr>
          <w:r>
            <w:rPr>
              <w:rFonts w:ascii="Times New Roman" w:hAnsi="Times New Roman"/>
            </w:rPr>
            <w:t>Rua Leopoldo da Cunha, 435 - Centro - 89.188-000 - Agronômica - Santa Catarina</w:t>
          </w:r>
        </w:p>
        <w:p w:rsidR="001C5C1F" w:rsidRDefault="00972783">
          <w:pPr>
            <w:tabs>
              <w:tab w:val="left" w:pos="3969"/>
            </w:tabs>
            <w:rPr>
              <w:rFonts w:hint="eastAsia"/>
              <w:sz w:val="20"/>
              <w:szCs w:val="20"/>
            </w:rPr>
          </w:pPr>
          <w:r>
            <w:rPr>
              <w:rFonts w:ascii="Times New Roman" w:hAnsi="Times New Roman"/>
            </w:rPr>
            <w:t>81.161.838/0001-69&lt;SEM_VALOR&gt;</w:t>
          </w:r>
        </w:p>
        <w:p w:rsidR="001C5C1F" w:rsidRDefault="00972783">
          <w:pPr>
            <w:tabs>
              <w:tab w:val="left" w:pos="3969"/>
            </w:tabs>
            <w:rPr>
              <w:rFonts w:hint="eastAsia"/>
              <w:sz w:val="20"/>
              <w:szCs w:val="20"/>
            </w:rPr>
          </w:pPr>
          <w:r>
            <w:rPr>
              <w:rFonts w:ascii="Times New Roman" w:hAnsi="Times New Roman"/>
            </w:rPr>
            <w:t>contabilidade@cva.sc.gov.br&lt;SEM_VALOR&gt;</w:t>
          </w:r>
        </w:p>
      </w:tc>
      <w:tc>
        <w:tcPr>
          <w:tcW w:w="1701" w:type="dxa"/>
          <w:shd w:val="clear" w:color="auto" w:fill="auto"/>
        </w:tcPr>
        <w:p w:rsidR="001C5C1F" w:rsidRDefault="00972783">
          <w:pPr>
            <w:pStyle w:val="Contedodatabela"/>
            <w:rPr>
              <w:rFonts w:ascii="Times New Roman" w:hAnsi="Times New Roman"/>
            </w:rPr>
          </w:pPr>
          <w:r>
            <w:rPr>
              <w:rFonts w:ascii="Times New Roman" w:hAnsi="Times New Roman"/>
              <w:noProof/>
              <w:lang w:eastAsia="pt-BR" w:bidi="ar-SA"/>
            </w:rPr>
            <w:drawing>
              <wp:anchor distT="0" distB="0" distL="0" distR="0" simplePos="0" relativeHeight="3" behindDoc="1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1018540" cy="685165"/>
                <wp:effectExtent l="0" t="0" r="0" b="0"/>
                <wp:wrapSquare wrapText="largest"/>
                <wp:docPr id="2" name="Figura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Figura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8540" cy="6851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:rsidR="001C5C1F" w:rsidRDefault="001C5C1F">
    <w:pPr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4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C5C1F"/>
    <w:rsid w:val="001C5C1F"/>
    <w:rsid w:val="00607DB6"/>
    <w:rsid w:val="00972783"/>
    <w:rsid w:val="00AC3351"/>
    <w:rsid w:val="00FE1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E1118"/>
  <w15:docId w15:val="{F5A0AFCA-7D12-48D6-A440-0C84A128F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imSun" w:hAnsi="Liberation Serif" w:cs="Mangal"/>
        <w:szCs w:val="24"/>
        <w:lang w:val="pt-BR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</w:pPr>
    <w:rPr>
      <w:color w:val="00000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rPr>
      <w:color w:val="000080"/>
      <w:u w:val="single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o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Corpodotexto">
    <w:name w:val="Corpo do texto"/>
    <w:basedOn w:val="Normal"/>
    <w:qFormat/>
    <w:pPr>
      <w:spacing w:after="140" w:line="288" w:lineRule="auto"/>
    </w:pPr>
  </w:style>
  <w:style w:type="paragraph" w:styleId="Cabealho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customStyle="1" w:styleId="Normal0">
    <w:name w:val="[Normal]"/>
    <w:qFormat/>
    <w:pPr>
      <w:widowControl w:val="0"/>
      <w:suppressAutoHyphens/>
    </w:pPr>
    <w:rPr>
      <w:rFonts w:ascii="Arial" w:eastAsiaTheme="minorHAnsi" w:hAnsi="Arial" w:cs="Arial"/>
      <w:color w:val="00000A"/>
      <w:sz w:val="24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4900</TotalTime>
  <Pages>4</Pages>
  <Words>1014</Words>
  <Characters>5481</Characters>
  <Application>Microsoft Office Word</Application>
  <DocSecurity>0</DocSecurity>
  <Lines>45</Lines>
  <Paragraphs>12</Paragraphs>
  <ScaleCrop>false</ScaleCrop>
  <Company/>
  <LinksUpToDate>false</LinksUpToDate>
  <CharactersWithSpaces>6483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Windows</cp:lastModifiedBy>
  <cp:revision>19</cp:revision>
  <dcterms:created xsi:type="dcterms:W3CDTF">2018-01-23T13:52:00Z</dcterms:created>
  <dcterms:modified xsi:type="dcterms:W3CDTF">2026-11-04T15:34:00Z</dcterms:modified>
  <dc:language>pt-BR</dc:language>
</cp:coreProperties>
</file>